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54C57" w14:textId="77777777" w:rsidR="00755F24" w:rsidRPr="00755F24" w:rsidRDefault="00056CD1" w:rsidP="00755F24">
      <w:pPr>
        <w:rPr>
          <w:rFonts w:ascii="Arial" w:eastAsia="Times New Roman" w:hAnsi="Arial" w:cs="Arial"/>
          <w:sz w:val="22"/>
          <w:szCs w:val="22"/>
        </w:rPr>
      </w:pPr>
      <w:r w:rsidRPr="00755F24">
        <w:rPr>
          <w:rFonts w:ascii="Arial" w:hAnsi="Arial" w:cs="Arial"/>
          <w:b/>
          <w:sz w:val="22"/>
          <w:szCs w:val="22"/>
        </w:rPr>
        <w:t>Title</w:t>
      </w:r>
      <w:r w:rsidR="00755F24" w:rsidRPr="00755F24">
        <w:rPr>
          <w:rFonts w:ascii="Arial" w:hAnsi="Arial" w:cs="Arial"/>
          <w:b/>
          <w:sz w:val="22"/>
          <w:szCs w:val="22"/>
        </w:rPr>
        <w:t xml:space="preserve">: </w:t>
      </w:r>
      <w:r w:rsidR="00755F24" w:rsidRPr="00755F24">
        <w:rPr>
          <w:rFonts w:ascii="Arial" w:eastAsia="Times New Roman" w:hAnsi="Arial" w:cs="Arial"/>
          <w:color w:val="000000"/>
          <w:sz w:val="22"/>
          <w:szCs w:val="22"/>
        </w:rPr>
        <w:t>Social Determinants: Expanding Access to Resources to Maximize Wellness and Self-Sufficiency in a Pandemic Afflicted Community</w:t>
      </w:r>
    </w:p>
    <w:p w14:paraId="12164B7A" w14:textId="29F59845" w:rsidR="00056CD1" w:rsidRPr="00755F24" w:rsidRDefault="00056CD1" w:rsidP="00056CD1">
      <w:pPr>
        <w:rPr>
          <w:rFonts w:ascii="Arial" w:hAnsi="Arial" w:cs="Arial"/>
          <w:bCs/>
          <w:sz w:val="22"/>
          <w:szCs w:val="22"/>
        </w:rPr>
      </w:pPr>
    </w:p>
    <w:p w14:paraId="24950B8C" w14:textId="411D8EFB" w:rsidR="0022090F" w:rsidRDefault="00755F24" w:rsidP="00056CD1">
      <w:pPr>
        <w:rPr>
          <w:rFonts w:ascii="Arial" w:hAnsi="Arial" w:cs="Arial"/>
          <w:bCs/>
          <w:sz w:val="22"/>
          <w:szCs w:val="22"/>
          <w:vertAlign w:val="superscript"/>
        </w:rPr>
      </w:pPr>
      <w:r>
        <w:rPr>
          <w:rFonts w:ascii="Arial" w:hAnsi="Arial" w:cs="Arial"/>
          <w:b/>
          <w:sz w:val="22"/>
          <w:szCs w:val="22"/>
        </w:rPr>
        <w:t xml:space="preserve">Authors: </w:t>
      </w:r>
      <w:r w:rsidRPr="00755F24">
        <w:rPr>
          <w:rFonts w:ascii="Arial" w:hAnsi="Arial" w:cs="Arial"/>
          <w:bCs/>
          <w:sz w:val="22"/>
          <w:szCs w:val="22"/>
        </w:rPr>
        <w:t>Lesley Cottrell PhD</w:t>
      </w:r>
      <w:r w:rsidRPr="00755F24">
        <w:rPr>
          <w:rFonts w:ascii="Arial" w:hAnsi="Arial" w:cs="Arial"/>
          <w:bCs/>
          <w:sz w:val="22"/>
          <w:szCs w:val="22"/>
          <w:vertAlign w:val="superscript"/>
        </w:rPr>
        <w:t>1</w:t>
      </w:r>
      <w:r w:rsidR="0022090F">
        <w:rPr>
          <w:rFonts w:ascii="Arial" w:hAnsi="Arial" w:cs="Arial"/>
          <w:bCs/>
          <w:sz w:val="22"/>
          <w:szCs w:val="22"/>
          <w:vertAlign w:val="superscript"/>
        </w:rPr>
        <w:t>-2</w:t>
      </w:r>
      <w:r w:rsidR="004A43C7">
        <w:rPr>
          <w:rFonts w:ascii="Arial" w:hAnsi="Arial" w:cs="Arial"/>
          <w:bCs/>
          <w:sz w:val="22"/>
          <w:szCs w:val="22"/>
          <w:vertAlign w:val="superscript"/>
        </w:rPr>
        <w:t xml:space="preserve">, </w:t>
      </w:r>
      <w:r w:rsidR="0022090F" w:rsidRPr="0022090F">
        <w:rPr>
          <w:rFonts w:ascii="Arial" w:hAnsi="Arial" w:cs="Arial"/>
          <w:bCs/>
          <w:sz w:val="22"/>
          <w:szCs w:val="22"/>
        </w:rPr>
        <w:t xml:space="preserve">Amanda </w:t>
      </w:r>
      <w:proofErr w:type="spellStart"/>
      <w:r w:rsidR="0022090F" w:rsidRPr="0022090F">
        <w:rPr>
          <w:rFonts w:ascii="Arial" w:hAnsi="Arial" w:cs="Arial"/>
          <w:bCs/>
          <w:sz w:val="22"/>
          <w:szCs w:val="22"/>
        </w:rPr>
        <w:t>Filippelli</w:t>
      </w:r>
      <w:proofErr w:type="spellEnd"/>
      <w:r w:rsidR="0022090F">
        <w:rPr>
          <w:rFonts w:ascii="Arial" w:hAnsi="Arial" w:cs="Arial"/>
          <w:bCs/>
          <w:sz w:val="22"/>
          <w:szCs w:val="22"/>
        </w:rPr>
        <w:t xml:space="preserve"> BS</w:t>
      </w:r>
      <w:r w:rsidR="0022090F">
        <w:rPr>
          <w:rFonts w:ascii="Arial" w:hAnsi="Arial" w:cs="Arial"/>
          <w:bCs/>
          <w:sz w:val="22"/>
          <w:szCs w:val="22"/>
          <w:vertAlign w:val="superscript"/>
        </w:rPr>
        <w:t>2</w:t>
      </w:r>
      <w:r w:rsidR="0022090F" w:rsidRPr="0022090F">
        <w:rPr>
          <w:rFonts w:ascii="Arial" w:hAnsi="Arial" w:cs="Arial"/>
          <w:bCs/>
          <w:sz w:val="22"/>
          <w:szCs w:val="22"/>
        </w:rPr>
        <w:t xml:space="preserve">, Melina </w:t>
      </w:r>
      <w:proofErr w:type="spellStart"/>
      <w:r w:rsidR="0022090F" w:rsidRPr="0022090F">
        <w:rPr>
          <w:rFonts w:ascii="Arial" w:hAnsi="Arial" w:cs="Arial"/>
          <w:bCs/>
          <w:sz w:val="22"/>
          <w:szCs w:val="22"/>
        </w:rPr>
        <w:t>Danko</w:t>
      </w:r>
      <w:proofErr w:type="spellEnd"/>
      <w:r w:rsidR="0022090F">
        <w:rPr>
          <w:rFonts w:ascii="Arial" w:hAnsi="Arial" w:cs="Arial"/>
          <w:bCs/>
          <w:sz w:val="22"/>
          <w:szCs w:val="22"/>
        </w:rPr>
        <w:t xml:space="preserve"> MS</w:t>
      </w:r>
      <w:r w:rsidR="0022090F">
        <w:rPr>
          <w:rFonts w:ascii="Arial" w:hAnsi="Arial" w:cs="Arial"/>
          <w:bCs/>
          <w:sz w:val="22"/>
          <w:szCs w:val="22"/>
          <w:vertAlign w:val="superscript"/>
        </w:rPr>
        <w:t>2</w:t>
      </w:r>
      <w:r w:rsidR="0022090F" w:rsidRPr="0022090F">
        <w:rPr>
          <w:rFonts w:ascii="Arial" w:hAnsi="Arial" w:cs="Arial"/>
          <w:bCs/>
          <w:sz w:val="22"/>
          <w:szCs w:val="22"/>
        </w:rPr>
        <w:t>,</w:t>
      </w:r>
      <w:r w:rsidRPr="00755F24">
        <w:rPr>
          <w:rFonts w:ascii="Arial" w:hAnsi="Arial" w:cs="Arial"/>
          <w:bCs/>
          <w:sz w:val="22"/>
          <w:szCs w:val="22"/>
        </w:rPr>
        <w:t xml:space="preserve"> and Carol Salas Pagan PsyD</w:t>
      </w:r>
      <w:r w:rsidR="0022090F">
        <w:rPr>
          <w:rFonts w:ascii="Arial" w:hAnsi="Arial" w:cs="Arial"/>
          <w:bCs/>
          <w:sz w:val="22"/>
          <w:szCs w:val="22"/>
          <w:vertAlign w:val="superscript"/>
        </w:rPr>
        <w:t>3</w:t>
      </w:r>
      <w:r w:rsidRPr="00755F24">
        <w:rPr>
          <w:rFonts w:ascii="Arial" w:hAnsi="Arial" w:cs="Arial"/>
          <w:bCs/>
          <w:sz w:val="22"/>
          <w:szCs w:val="22"/>
          <w:vertAlign w:val="superscript"/>
        </w:rPr>
        <w:t xml:space="preserve"> </w:t>
      </w:r>
    </w:p>
    <w:p w14:paraId="6E963F2B" w14:textId="77777777" w:rsidR="0022090F" w:rsidRDefault="0022090F" w:rsidP="00056CD1">
      <w:pPr>
        <w:rPr>
          <w:rFonts w:ascii="Arial" w:hAnsi="Arial" w:cs="Arial"/>
          <w:bCs/>
          <w:sz w:val="22"/>
          <w:szCs w:val="22"/>
          <w:vertAlign w:val="superscript"/>
        </w:rPr>
      </w:pPr>
    </w:p>
    <w:p w14:paraId="483BD8A7" w14:textId="0A8633E3" w:rsidR="00755F24" w:rsidRPr="00755F24" w:rsidRDefault="00755F24" w:rsidP="00056CD1">
      <w:pPr>
        <w:rPr>
          <w:rFonts w:ascii="Arial" w:hAnsi="Arial" w:cs="Arial"/>
          <w:bCs/>
          <w:sz w:val="22"/>
          <w:szCs w:val="22"/>
          <w:vertAlign w:val="superscript"/>
        </w:rPr>
      </w:pPr>
      <w:r w:rsidRPr="00755F24">
        <w:rPr>
          <w:rFonts w:ascii="Arial" w:hAnsi="Arial" w:cs="Arial"/>
          <w:bCs/>
          <w:sz w:val="22"/>
          <w:szCs w:val="22"/>
          <w:vertAlign w:val="superscript"/>
        </w:rPr>
        <w:t xml:space="preserve">1 </w:t>
      </w:r>
      <w:r w:rsidRPr="00755F24">
        <w:rPr>
          <w:rFonts w:ascii="Arial" w:hAnsi="Arial" w:cs="Arial"/>
          <w:bCs/>
          <w:sz w:val="22"/>
          <w:szCs w:val="22"/>
        </w:rPr>
        <w:t>West Virginia University</w:t>
      </w:r>
      <w:r w:rsidRPr="00755F24">
        <w:rPr>
          <w:rFonts w:ascii="Arial" w:hAnsi="Arial" w:cs="Arial"/>
          <w:bCs/>
          <w:sz w:val="22"/>
          <w:szCs w:val="22"/>
          <w:vertAlign w:val="superscript"/>
        </w:rPr>
        <w:t xml:space="preserve">; 2 </w:t>
      </w:r>
      <w:r w:rsidR="0022090F">
        <w:rPr>
          <w:rFonts w:ascii="Arial" w:hAnsi="Arial" w:cs="Arial"/>
          <w:bCs/>
          <w:sz w:val="22"/>
          <w:szCs w:val="22"/>
        </w:rPr>
        <w:t xml:space="preserve">West Virginia University Center for Excellence in Disabilities, and </w:t>
      </w:r>
      <w:r w:rsidR="0022090F">
        <w:rPr>
          <w:rFonts w:ascii="Arial" w:hAnsi="Arial" w:cs="Arial"/>
          <w:bCs/>
          <w:sz w:val="22"/>
          <w:szCs w:val="22"/>
          <w:vertAlign w:val="superscript"/>
        </w:rPr>
        <w:t>3</w:t>
      </w:r>
      <w:r w:rsidRPr="00755F24">
        <w:rPr>
          <w:rFonts w:ascii="Arial" w:hAnsi="Arial" w:cs="Arial"/>
          <w:bCs/>
          <w:sz w:val="22"/>
          <w:szCs w:val="22"/>
        </w:rPr>
        <w:t>University of Puerto Rico</w:t>
      </w:r>
    </w:p>
    <w:p w14:paraId="3E682685" w14:textId="3C9A916F" w:rsidR="00056CD1" w:rsidRDefault="00056CD1"/>
    <w:p w14:paraId="3893EB2B" w14:textId="0048369A" w:rsidR="00056CD1" w:rsidRPr="003D28C3" w:rsidRDefault="0033354B" w:rsidP="00056CD1">
      <w:pPr>
        <w:rPr>
          <w:b/>
        </w:rPr>
      </w:pPr>
      <w:r>
        <w:rPr>
          <w:b/>
        </w:rPr>
        <w:t>Background:</w:t>
      </w:r>
    </w:p>
    <w:p w14:paraId="1F8334CA" w14:textId="77777777" w:rsidR="0033354B" w:rsidRDefault="00542123" w:rsidP="0033354B">
      <w:pPr>
        <w:pStyle w:val="ListParagraph"/>
        <w:numPr>
          <w:ilvl w:val="0"/>
          <w:numId w:val="1"/>
        </w:numPr>
      </w:pPr>
      <w:r>
        <w:t>Social determinants of health represent the social and physical environmental factors that influence our health including community construction, transportation, housing, and food insecurity and more.</w:t>
      </w:r>
      <w:r w:rsidR="002126F8">
        <w:t xml:space="preserve">  </w:t>
      </w:r>
    </w:p>
    <w:p w14:paraId="4465FA0C" w14:textId="77777777" w:rsidR="0033354B" w:rsidRDefault="002126F8" w:rsidP="0033354B">
      <w:pPr>
        <w:pStyle w:val="ListParagraph"/>
        <w:numPr>
          <w:ilvl w:val="0"/>
          <w:numId w:val="1"/>
        </w:numPr>
      </w:pPr>
      <w:r>
        <w:t xml:space="preserve">Research has demonstrated that our home, school, work, and neighborhood environments either support, or challenge, the extent to which we experience health issues, are able to address these concerns, and how we move forward with preventive efforts.  </w:t>
      </w:r>
    </w:p>
    <w:p w14:paraId="204C2717" w14:textId="77777777" w:rsidR="0033354B" w:rsidRDefault="002126F8" w:rsidP="0033354B">
      <w:pPr>
        <w:pStyle w:val="ListParagraph"/>
        <w:numPr>
          <w:ilvl w:val="0"/>
          <w:numId w:val="1"/>
        </w:numPr>
      </w:pPr>
      <w:r>
        <w:t xml:space="preserve">Healthy People 2020 identified social determinants of health as a topic area for future interventions and noted “all Americans deserve an equal opportunity to make the choices that lead to good health.”  </w:t>
      </w:r>
    </w:p>
    <w:p w14:paraId="7EEC82DB" w14:textId="77777777" w:rsidR="0033354B" w:rsidRDefault="002126F8" w:rsidP="00542123">
      <w:pPr>
        <w:pStyle w:val="ListParagraph"/>
        <w:numPr>
          <w:ilvl w:val="0"/>
          <w:numId w:val="1"/>
        </w:numPr>
      </w:pPr>
      <w:r>
        <w:t xml:space="preserve">However, to fulfill that goal, we must address disparities in the social and physical environments. Not all environments are created equal. </w:t>
      </w:r>
    </w:p>
    <w:p w14:paraId="7852ECFD" w14:textId="335FD7F4" w:rsidR="00CA5945" w:rsidRDefault="00542123" w:rsidP="00542123">
      <w:pPr>
        <w:pStyle w:val="ListParagraph"/>
        <w:numPr>
          <w:ilvl w:val="0"/>
          <w:numId w:val="1"/>
        </w:numPr>
      </w:pPr>
      <w:r>
        <w:t xml:space="preserve">Social determinants become even more pronounced during periods of stress such as with a pandemic. During the COVID-19, those who were without resources became considerably more vulnerable with isolation and service restrictions. </w:t>
      </w:r>
    </w:p>
    <w:p w14:paraId="51D70A85" w14:textId="77777777" w:rsidR="00CA5945" w:rsidRDefault="00CA5945" w:rsidP="00542123"/>
    <w:p w14:paraId="0639AF5B" w14:textId="77777777" w:rsidR="0033354B" w:rsidRDefault="0033354B" w:rsidP="00542123">
      <w:pPr>
        <w:rPr>
          <w:b/>
          <w:bCs/>
        </w:rPr>
      </w:pPr>
      <w:r>
        <w:rPr>
          <w:b/>
          <w:bCs/>
        </w:rPr>
        <w:t xml:space="preserve">Objectives: </w:t>
      </w:r>
    </w:p>
    <w:p w14:paraId="4F7E4C80" w14:textId="2A8EA4CF" w:rsidR="0033354B" w:rsidRDefault="0033354B" w:rsidP="0033354B">
      <w:pPr>
        <w:pStyle w:val="ListParagraph"/>
        <w:numPr>
          <w:ilvl w:val="0"/>
          <w:numId w:val="2"/>
        </w:numPr>
      </w:pPr>
      <w:r>
        <w:t>Review national literature for studies examining social determinant changes during onset of COVID-19;</w:t>
      </w:r>
    </w:p>
    <w:p w14:paraId="4C222C8B" w14:textId="32BBD7B0" w:rsidR="00542123" w:rsidRDefault="0033354B" w:rsidP="0033354B">
      <w:pPr>
        <w:pStyle w:val="ListParagraph"/>
        <w:numPr>
          <w:ilvl w:val="0"/>
          <w:numId w:val="2"/>
        </w:numPr>
      </w:pPr>
      <w:r>
        <w:t>Identify proposed areas where services are needed and compare proposed approaches; and</w:t>
      </w:r>
    </w:p>
    <w:p w14:paraId="368BC198" w14:textId="419DBD22" w:rsidR="0033354B" w:rsidRDefault="0033354B" w:rsidP="0033354B">
      <w:pPr>
        <w:pStyle w:val="ListParagraph"/>
        <w:numPr>
          <w:ilvl w:val="0"/>
          <w:numId w:val="2"/>
        </w:numPr>
      </w:pPr>
      <w:r>
        <w:t>Identify proposed next steps in research to fully understand COVID impact for disability groups as COVID continues</w:t>
      </w:r>
    </w:p>
    <w:p w14:paraId="64C3E0EE" w14:textId="4998E86C" w:rsidR="00056CD1" w:rsidRDefault="00056CD1"/>
    <w:p w14:paraId="3096365F" w14:textId="77777777" w:rsidR="0033354B" w:rsidRDefault="0033354B">
      <w:pPr>
        <w:rPr>
          <w:b/>
        </w:rPr>
      </w:pPr>
      <w:r>
        <w:rPr>
          <w:b/>
        </w:rPr>
        <w:t>Methods:</w:t>
      </w:r>
    </w:p>
    <w:p w14:paraId="46A7A40E" w14:textId="10B38EBA" w:rsidR="0033354B" w:rsidRPr="00694AC3" w:rsidRDefault="0033354B" w:rsidP="0033354B">
      <w:pPr>
        <w:pStyle w:val="ListParagraph"/>
        <w:numPr>
          <w:ilvl w:val="0"/>
          <w:numId w:val="3"/>
        </w:numPr>
        <w:rPr>
          <w:b/>
          <w:bCs/>
        </w:rPr>
      </w:pPr>
      <w:r>
        <w:t>Reviewed national literature based on following criteria:</w:t>
      </w:r>
    </w:p>
    <w:p w14:paraId="400D517A" w14:textId="77777777" w:rsidR="0033354B" w:rsidRPr="00694AC3" w:rsidRDefault="0033354B" w:rsidP="0033354B">
      <w:pPr>
        <w:pStyle w:val="ListParagraph"/>
        <w:numPr>
          <w:ilvl w:val="1"/>
          <w:numId w:val="3"/>
        </w:numPr>
        <w:rPr>
          <w:b/>
          <w:bCs/>
        </w:rPr>
      </w:pPr>
      <w:r>
        <w:t>Peer-reviewed manuscript</w:t>
      </w:r>
    </w:p>
    <w:p w14:paraId="59FB9D8B" w14:textId="77777777" w:rsidR="0033354B" w:rsidRPr="00F836E1" w:rsidRDefault="0033354B" w:rsidP="0033354B">
      <w:pPr>
        <w:pStyle w:val="ListParagraph"/>
        <w:numPr>
          <w:ilvl w:val="1"/>
          <w:numId w:val="3"/>
        </w:numPr>
        <w:rPr>
          <w:b/>
          <w:bCs/>
        </w:rPr>
      </w:pPr>
      <w:r>
        <w:t>Conducted within the United States</w:t>
      </w:r>
    </w:p>
    <w:p w14:paraId="24D7D0BD" w14:textId="77777777" w:rsidR="0033354B" w:rsidRPr="00694AC3" w:rsidRDefault="0033354B" w:rsidP="0033354B">
      <w:pPr>
        <w:pStyle w:val="ListParagraph"/>
        <w:numPr>
          <w:ilvl w:val="1"/>
          <w:numId w:val="3"/>
        </w:numPr>
        <w:rPr>
          <w:b/>
          <w:bCs/>
        </w:rPr>
      </w:pPr>
      <w:r>
        <w:t>Original research, randomized control trials, case studies, survey research</w:t>
      </w:r>
    </w:p>
    <w:p w14:paraId="066FA414" w14:textId="5A1AA959" w:rsidR="0033354B" w:rsidRPr="00694AC3" w:rsidRDefault="0033354B" w:rsidP="0033354B">
      <w:pPr>
        <w:pStyle w:val="ListParagraph"/>
        <w:numPr>
          <w:ilvl w:val="1"/>
          <w:numId w:val="3"/>
        </w:numPr>
        <w:rPr>
          <w:b/>
          <w:bCs/>
        </w:rPr>
      </w:pPr>
      <w:r>
        <w:t>Keywords: Social determinants, disability, COVID-19, services, and research</w:t>
      </w:r>
    </w:p>
    <w:p w14:paraId="178F3505" w14:textId="77777777" w:rsidR="0033354B" w:rsidRPr="00694AC3" w:rsidRDefault="0033354B" w:rsidP="0033354B">
      <w:pPr>
        <w:pStyle w:val="ListParagraph"/>
        <w:numPr>
          <w:ilvl w:val="1"/>
          <w:numId w:val="3"/>
        </w:numPr>
        <w:rPr>
          <w:b/>
          <w:bCs/>
        </w:rPr>
      </w:pPr>
      <w:r>
        <w:t>Published between March – October 2020</w:t>
      </w:r>
    </w:p>
    <w:p w14:paraId="6BF1C7FF" w14:textId="77777777" w:rsidR="0033354B" w:rsidRPr="00694AC3" w:rsidRDefault="0033354B" w:rsidP="0033354B">
      <w:pPr>
        <w:pStyle w:val="ListParagraph"/>
        <w:numPr>
          <w:ilvl w:val="0"/>
          <w:numId w:val="3"/>
        </w:numPr>
        <w:rPr>
          <w:b/>
          <w:bCs/>
        </w:rPr>
      </w:pPr>
      <w:r>
        <w:t>Targeted Outcomes included:</w:t>
      </w:r>
    </w:p>
    <w:p w14:paraId="4E6B5939" w14:textId="4BAEE977" w:rsidR="0033354B" w:rsidRPr="0033354B" w:rsidRDefault="0033354B" w:rsidP="0033354B">
      <w:pPr>
        <w:pStyle w:val="ListParagraph"/>
        <w:numPr>
          <w:ilvl w:val="1"/>
          <w:numId w:val="3"/>
        </w:numPr>
        <w:rPr>
          <w:b/>
        </w:rPr>
      </w:pPr>
      <w:r>
        <w:t>Observe how social determinant factors have changed at onset of COVID</w:t>
      </w:r>
    </w:p>
    <w:p w14:paraId="103F6502" w14:textId="14897355" w:rsidR="0033354B" w:rsidRPr="003742E4" w:rsidRDefault="0033354B" w:rsidP="0033354B">
      <w:pPr>
        <w:pStyle w:val="ListParagraph"/>
        <w:numPr>
          <w:ilvl w:val="1"/>
          <w:numId w:val="3"/>
        </w:numPr>
        <w:rPr>
          <w:b/>
        </w:rPr>
      </w:pPr>
      <w:r>
        <w:t>Identify proposed areas where service</w:t>
      </w:r>
      <w:r w:rsidR="003742E4">
        <w:t xml:space="preserve"> gaps were identified</w:t>
      </w:r>
    </w:p>
    <w:p w14:paraId="781A32A2" w14:textId="67954791" w:rsidR="003742E4" w:rsidRPr="003742E4" w:rsidRDefault="003742E4" w:rsidP="0033354B">
      <w:pPr>
        <w:pStyle w:val="ListParagraph"/>
        <w:numPr>
          <w:ilvl w:val="1"/>
          <w:numId w:val="3"/>
        </w:numPr>
        <w:rPr>
          <w:b/>
        </w:rPr>
      </w:pPr>
      <w:r>
        <w:lastRenderedPageBreak/>
        <w:t>Proposed approaches for overcoming barriers</w:t>
      </w:r>
    </w:p>
    <w:p w14:paraId="64E78461" w14:textId="779CBFA0" w:rsidR="003742E4" w:rsidRPr="0033354B" w:rsidRDefault="003742E4" w:rsidP="0033354B">
      <w:pPr>
        <w:pStyle w:val="ListParagraph"/>
        <w:numPr>
          <w:ilvl w:val="1"/>
          <w:numId w:val="3"/>
        </w:numPr>
        <w:rPr>
          <w:b/>
        </w:rPr>
      </w:pPr>
      <w:r>
        <w:t>Future research recommendations</w:t>
      </w:r>
    </w:p>
    <w:p w14:paraId="56E8769C" w14:textId="77777777" w:rsidR="0033354B" w:rsidRDefault="0033354B">
      <w:pPr>
        <w:rPr>
          <w:b/>
        </w:rPr>
      </w:pPr>
    </w:p>
    <w:p w14:paraId="40652A49" w14:textId="77777777" w:rsidR="0033354B" w:rsidRDefault="0033354B">
      <w:pPr>
        <w:rPr>
          <w:b/>
        </w:rPr>
      </w:pPr>
    </w:p>
    <w:p w14:paraId="1BE9A3A0" w14:textId="77777777" w:rsidR="0033354B" w:rsidRDefault="0033354B">
      <w:pPr>
        <w:rPr>
          <w:b/>
        </w:rPr>
      </w:pPr>
      <w:r>
        <w:rPr>
          <w:b/>
        </w:rPr>
        <w:t>Results:</w:t>
      </w:r>
    </w:p>
    <w:p w14:paraId="6351185B" w14:textId="1D960474" w:rsidR="0033354B" w:rsidRPr="00576F4F" w:rsidRDefault="0041113C" w:rsidP="0033354B">
      <w:pPr>
        <w:pStyle w:val="ListParagraph"/>
        <w:numPr>
          <w:ilvl w:val="0"/>
          <w:numId w:val="5"/>
        </w:numPr>
        <w:rPr>
          <w:b/>
          <w:bCs/>
        </w:rPr>
      </w:pPr>
      <w:r>
        <w:t xml:space="preserve">2321 </w:t>
      </w:r>
      <w:r w:rsidR="0033354B">
        <w:t>manuscripts resulted in initial keyword search</w:t>
      </w:r>
    </w:p>
    <w:p w14:paraId="39204F20" w14:textId="7B1070CF" w:rsidR="0033354B" w:rsidRPr="00505DE8" w:rsidRDefault="0041113C" w:rsidP="0033354B">
      <w:pPr>
        <w:pStyle w:val="ListParagraph"/>
        <w:numPr>
          <w:ilvl w:val="0"/>
          <w:numId w:val="5"/>
        </w:numPr>
        <w:rPr>
          <w:b/>
          <w:bCs/>
        </w:rPr>
      </w:pPr>
      <w:r>
        <w:t>573</w:t>
      </w:r>
      <w:r w:rsidR="0033354B">
        <w:t xml:space="preserve"> manuscripts met all eligibility criteria</w:t>
      </w:r>
    </w:p>
    <w:p w14:paraId="6E377641" w14:textId="27883FF7" w:rsidR="0033354B" w:rsidRDefault="0033354B" w:rsidP="0033354B">
      <w:pPr>
        <w:tabs>
          <w:tab w:val="left" w:pos="451"/>
        </w:tabs>
        <w:rPr>
          <w:b/>
        </w:rPr>
      </w:pPr>
    </w:p>
    <w:p w14:paraId="538627F4" w14:textId="40C4A584" w:rsidR="0033354B" w:rsidRDefault="003742E4">
      <w:pPr>
        <w:rPr>
          <w:b/>
          <w:i/>
          <w:iCs/>
        </w:rPr>
      </w:pPr>
      <w:r>
        <w:rPr>
          <w:b/>
          <w:i/>
          <w:iCs/>
        </w:rPr>
        <w:t>Associations between COVID-19 and Social Determinants</w:t>
      </w:r>
    </w:p>
    <w:p w14:paraId="06C60C3B" w14:textId="1D80BBB9" w:rsidR="00D966E0" w:rsidRDefault="00D966E0" w:rsidP="0041113C">
      <w:pPr>
        <w:pStyle w:val="ListParagraph"/>
        <w:numPr>
          <w:ilvl w:val="0"/>
          <w:numId w:val="6"/>
        </w:numPr>
        <w:rPr>
          <w:bCs/>
        </w:rPr>
      </w:pPr>
      <w:r>
        <w:rPr>
          <w:bCs/>
        </w:rPr>
        <w:t>Positive correlation of COVID-19 cases by age and disabilities</w:t>
      </w:r>
    </w:p>
    <w:p w14:paraId="6110FDAF" w14:textId="7E6C4EB0" w:rsidR="0041113C" w:rsidRDefault="0041113C" w:rsidP="0041113C">
      <w:pPr>
        <w:pStyle w:val="ListParagraph"/>
        <w:numPr>
          <w:ilvl w:val="0"/>
          <w:numId w:val="6"/>
        </w:numPr>
        <w:rPr>
          <w:bCs/>
        </w:rPr>
      </w:pPr>
      <w:r>
        <w:rPr>
          <w:bCs/>
        </w:rPr>
        <w:t>COVID-19 contributed to a significantly farther divide based on socioeconomic status</w:t>
      </w:r>
    </w:p>
    <w:p w14:paraId="231D45D1" w14:textId="244B2F56" w:rsidR="0041113C" w:rsidRDefault="009C3D11" w:rsidP="009C3D11">
      <w:pPr>
        <w:pStyle w:val="ListParagraph"/>
        <w:numPr>
          <w:ilvl w:val="1"/>
          <w:numId w:val="6"/>
        </w:numPr>
        <w:rPr>
          <w:bCs/>
        </w:rPr>
      </w:pPr>
      <w:r>
        <w:rPr>
          <w:bCs/>
        </w:rPr>
        <w:t>Limited COVID-19 testing and follow up</w:t>
      </w:r>
    </w:p>
    <w:p w14:paraId="7363B4CE" w14:textId="6598EEB3" w:rsidR="009C3D11" w:rsidRDefault="009C3D11" w:rsidP="009C3D11">
      <w:pPr>
        <w:pStyle w:val="ListParagraph"/>
        <w:numPr>
          <w:ilvl w:val="1"/>
          <w:numId w:val="6"/>
        </w:numPr>
        <w:rPr>
          <w:bCs/>
        </w:rPr>
      </w:pPr>
      <w:r>
        <w:rPr>
          <w:bCs/>
        </w:rPr>
        <w:t>Limited medical care and access to facilities for individuals using wheelchairs</w:t>
      </w:r>
    </w:p>
    <w:p w14:paraId="370A2929" w14:textId="6EAE7CB9" w:rsidR="009C3D11" w:rsidRDefault="009C3D11" w:rsidP="009C3D11">
      <w:pPr>
        <w:pStyle w:val="ListParagraph"/>
        <w:numPr>
          <w:ilvl w:val="0"/>
          <w:numId w:val="6"/>
        </w:numPr>
        <w:rPr>
          <w:bCs/>
        </w:rPr>
      </w:pPr>
      <w:r>
        <w:rPr>
          <w:bCs/>
        </w:rPr>
        <w:t>Food consumption disparities associated with increased violence and abuse in some populations</w:t>
      </w:r>
    </w:p>
    <w:p w14:paraId="36F3C137" w14:textId="543C2B52" w:rsidR="00D966E0" w:rsidRDefault="00D966E0" w:rsidP="009C3D11">
      <w:pPr>
        <w:pStyle w:val="ListParagraph"/>
        <w:numPr>
          <w:ilvl w:val="0"/>
          <w:numId w:val="6"/>
        </w:numPr>
        <w:rPr>
          <w:bCs/>
        </w:rPr>
      </w:pPr>
      <w:r>
        <w:rPr>
          <w:bCs/>
        </w:rPr>
        <w:t>Social isolation associated with COVID-19 guidelines related to higher risks of negative health conditions, cognitive decline, and premature mortality as well as increased risk of abuse and financial scams.</w:t>
      </w:r>
    </w:p>
    <w:p w14:paraId="08737650" w14:textId="508E96DB" w:rsidR="003742E4" w:rsidRDefault="003742E4">
      <w:pPr>
        <w:rPr>
          <w:b/>
          <w:i/>
          <w:iCs/>
        </w:rPr>
      </w:pPr>
    </w:p>
    <w:p w14:paraId="093E2774" w14:textId="2EE91AE1" w:rsidR="003742E4" w:rsidRDefault="003742E4">
      <w:pPr>
        <w:rPr>
          <w:b/>
          <w:i/>
          <w:iCs/>
        </w:rPr>
      </w:pPr>
      <w:r>
        <w:rPr>
          <w:b/>
          <w:i/>
          <w:iCs/>
        </w:rPr>
        <w:t>Service Gaps due to COVID-19</w:t>
      </w:r>
    </w:p>
    <w:p w14:paraId="3746DC63" w14:textId="1A1E29CA" w:rsidR="0041113C" w:rsidRDefault="0041113C" w:rsidP="0041113C">
      <w:pPr>
        <w:pStyle w:val="ListParagraph"/>
        <w:numPr>
          <w:ilvl w:val="0"/>
          <w:numId w:val="6"/>
        </w:numPr>
        <w:rPr>
          <w:bCs/>
        </w:rPr>
      </w:pPr>
      <w:r>
        <w:rPr>
          <w:bCs/>
        </w:rPr>
        <w:t>Assessing social determinant changes during COVID-19 became more difficult for providers</w:t>
      </w:r>
    </w:p>
    <w:p w14:paraId="3919C0BF" w14:textId="23D4080C" w:rsidR="00D966E0" w:rsidRDefault="00D966E0" w:rsidP="00D966E0">
      <w:pPr>
        <w:pStyle w:val="ListParagraph"/>
        <w:numPr>
          <w:ilvl w:val="0"/>
          <w:numId w:val="6"/>
        </w:numPr>
        <w:rPr>
          <w:bCs/>
        </w:rPr>
      </w:pPr>
      <w:r>
        <w:rPr>
          <w:bCs/>
        </w:rPr>
        <w:t>End-of-Life care determinations questioned within select populations</w:t>
      </w:r>
    </w:p>
    <w:p w14:paraId="20FC4C34" w14:textId="188EC93D" w:rsidR="00D966E0" w:rsidRDefault="00D966E0" w:rsidP="00D966E0">
      <w:pPr>
        <w:pStyle w:val="ListParagraph"/>
        <w:numPr>
          <w:ilvl w:val="0"/>
          <w:numId w:val="6"/>
        </w:numPr>
        <w:rPr>
          <w:bCs/>
        </w:rPr>
      </w:pPr>
      <w:r>
        <w:rPr>
          <w:bCs/>
        </w:rPr>
        <w:t>Medical rationing and procedural disparities were reported in many areas</w:t>
      </w:r>
    </w:p>
    <w:p w14:paraId="38CADA64" w14:textId="396D4CEE" w:rsidR="00D966E0" w:rsidRPr="00D966E0" w:rsidRDefault="00D966E0" w:rsidP="00D966E0">
      <w:pPr>
        <w:pStyle w:val="ListParagraph"/>
        <w:numPr>
          <w:ilvl w:val="0"/>
          <w:numId w:val="6"/>
        </w:numPr>
        <w:rPr>
          <w:bCs/>
        </w:rPr>
      </w:pPr>
      <w:r>
        <w:rPr>
          <w:bCs/>
        </w:rPr>
        <w:t>Limited training options in select fields for health science students and providers</w:t>
      </w:r>
    </w:p>
    <w:p w14:paraId="51400E2B" w14:textId="216C6535" w:rsidR="003742E4" w:rsidRDefault="003742E4">
      <w:pPr>
        <w:rPr>
          <w:b/>
          <w:i/>
          <w:iCs/>
        </w:rPr>
      </w:pPr>
    </w:p>
    <w:p w14:paraId="56737712" w14:textId="48FA5FF4" w:rsidR="003742E4" w:rsidRDefault="003742E4">
      <w:pPr>
        <w:rPr>
          <w:b/>
          <w:i/>
          <w:iCs/>
        </w:rPr>
      </w:pPr>
      <w:r>
        <w:rPr>
          <w:b/>
          <w:i/>
          <w:iCs/>
        </w:rPr>
        <w:t>Proposed Solutions to Addressing Social Determinant Needs</w:t>
      </w:r>
    </w:p>
    <w:p w14:paraId="2B01B171" w14:textId="77777777" w:rsidR="0041113C" w:rsidRDefault="0041113C" w:rsidP="0041113C">
      <w:pPr>
        <w:pStyle w:val="ListParagraph"/>
        <w:numPr>
          <w:ilvl w:val="0"/>
          <w:numId w:val="6"/>
        </w:numPr>
        <w:rPr>
          <w:bCs/>
        </w:rPr>
      </w:pPr>
      <w:r>
        <w:rPr>
          <w:bCs/>
        </w:rPr>
        <w:t>New technologies sought after and tested to prevent social seclusion</w:t>
      </w:r>
    </w:p>
    <w:p w14:paraId="7B01051A" w14:textId="69ADB6C8" w:rsidR="0041113C" w:rsidRDefault="0041113C" w:rsidP="0041113C">
      <w:pPr>
        <w:pStyle w:val="ListParagraph"/>
        <w:numPr>
          <w:ilvl w:val="0"/>
          <w:numId w:val="6"/>
        </w:numPr>
        <w:rPr>
          <w:bCs/>
        </w:rPr>
      </w:pPr>
      <w:r>
        <w:rPr>
          <w:bCs/>
        </w:rPr>
        <w:t>New methods to collect data that improve prevention and treatment</w:t>
      </w:r>
    </w:p>
    <w:p w14:paraId="484A0566" w14:textId="361EB156" w:rsidR="009C3D11" w:rsidRDefault="009C3D11" w:rsidP="009C3D11">
      <w:pPr>
        <w:pStyle w:val="ListParagraph"/>
        <w:numPr>
          <w:ilvl w:val="0"/>
          <w:numId w:val="6"/>
        </w:numPr>
        <w:rPr>
          <w:bCs/>
        </w:rPr>
      </w:pPr>
      <w:r>
        <w:rPr>
          <w:bCs/>
        </w:rPr>
        <w:t xml:space="preserve">Assuring disability-accessible COVID-19 information and accurate reporting of disability status </w:t>
      </w:r>
    </w:p>
    <w:p w14:paraId="5285F6F9" w14:textId="5DBD9B7E" w:rsidR="009C3D11" w:rsidRDefault="009C3D11" w:rsidP="009C3D11">
      <w:pPr>
        <w:pStyle w:val="ListParagraph"/>
        <w:numPr>
          <w:ilvl w:val="0"/>
          <w:numId w:val="6"/>
        </w:numPr>
        <w:rPr>
          <w:bCs/>
        </w:rPr>
      </w:pPr>
      <w:r>
        <w:rPr>
          <w:bCs/>
        </w:rPr>
        <w:t>Regular assessment of patient social needs</w:t>
      </w:r>
      <w:r w:rsidR="00D966E0">
        <w:rPr>
          <w:bCs/>
        </w:rPr>
        <w:t xml:space="preserve"> with workforce who can address them</w:t>
      </w:r>
    </w:p>
    <w:p w14:paraId="4E0322D0" w14:textId="7A5F5D48" w:rsidR="00D966E0" w:rsidRDefault="00D966E0" w:rsidP="00D966E0">
      <w:pPr>
        <w:pStyle w:val="ListParagraph"/>
        <w:numPr>
          <w:ilvl w:val="1"/>
          <w:numId w:val="6"/>
        </w:numPr>
        <w:rPr>
          <w:bCs/>
        </w:rPr>
      </w:pPr>
      <w:r>
        <w:rPr>
          <w:bCs/>
        </w:rPr>
        <w:t>Increased availability of short form assessments (PRAPARE, AAFP Tool, HRSN Tool)</w:t>
      </w:r>
    </w:p>
    <w:p w14:paraId="7B6DA17D" w14:textId="49CAE1E1" w:rsidR="00D966E0" w:rsidRPr="00D966E0" w:rsidRDefault="00D966E0" w:rsidP="00D966E0">
      <w:pPr>
        <w:pStyle w:val="ListParagraph"/>
        <w:numPr>
          <w:ilvl w:val="0"/>
          <w:numId w:val="6"/>
        </w:numPr>
        <w:rPr>
          <w:bCs/>
        </w:rPr>
      </w:pPr>
      <w:r>
        <w:rPr>
          <w:bCs/>
        </w:rPr>
        <w:t>Using SHH framework to identify most vulnerable</w:t>
      </w:r>
    </w:p>
    <w:p w14:paraId="483FEC6E" w14:textId="575E1B2A" w:rsidR="003742E4" w:rsidRDefault="003742E4">
      <w:pPr>
        <w:rPr>
          <w:b/>
          <w:i/>
          <w:iCs/>
        </w:rPr>
      </w:pPr>
    </w:p>
    <w:p w14:paraId="504506FA" w14:textId="59CB8133" w:rsidR="003742E4" w:rsidRDefault="003742E4">
      <w:pPr>
        <w:rPr>
          <w:b/>
          <w:i/>
          <w:iCs/>
        </w:rPr>
      </w:pPr>
      <w:r>
        <w:rPr>
          <w:b/>
          <w:i/>
          <w:iCs/>
        </w:rPr>
        <w:t>Future Research Recommendations</w:t>
      </w:r>
    </w:p>
    <w:p w14:paraId="6F286F98" w14:textId="1896C69A" w:rsidR="009C3D11" w:rsidRPr="009C3D11" w:rsidRDefault="009C3D11" w:rsidP="009C3D11">
      <w:pPr>
        <w:pStyle w:val="ListParagraph"/>
        <w:numPr>
          <w:ilvl w:val="0"/>
          <w:numId w:val="7"/>
        </w:numPr>
        <w:rPr>
          <w:b/>
          <w:i/>
          <w:iCs/>
        </w:rPr>
      </w:pPr>
      <w:r>
        <w:rPr>
          <w:bCs/>
        </w:rPr>
        <w:t>Continued studies designed to assess social determinants among individuals with disabilities</w:t>
      </w:r>
    </w:p>
    <w:p w14:paraId="7F2430B3" w14:textId="32D03467" w:rsidR="009C3D11" w:rsidRPr="00D966E0" w:rsidRDefault="009C3D11" w:rsidP="00D966E0">
      <w:pPr>
        <w:pStyle w:val="ListParagraph"/>
        <w:numPr>
          <w:ilvl w:val="0"/>
          <w:numId w:val="7"/>
        </w:numPr>
        <w:rPr>
          <w:b/>
          <w:i/>
          <w:iCs/>
        </w:rPr>
      </w:pPr>
      <w:r>
        <w:rPr>
          <w:bCs/>
        </w:rPr>
        <w:t>Share work with state officials and families – dissemination plans that include those audiences would be a MUST</w:t>
      </w:r>
    </w:p>
    <w:p w14:paraId="3BE4098E" w14:textId="77777777" w:rsidR="003742E4" w:rsidRDefault="003742E4">
      <w:pPr>
        <w:rPr>
          <w:b/>
        </w:rPr>
      </w:pPr>
    </w:p>
    <w:p w14:paraId="5DD48B86" w14:textId="40028639" w:rsidR="0033354B" w:rsidRDefault="0033354B">
      <w:pPr>
        <w:rPr>
          <w:b/>
        </w:rPr>
      </w:pPr>
      <w:r>
        <w:rPr>
          <w:b/>
        </w:rPr>
        <w:t>Conclusions:</w:t>
      </w:r>
    </w:p>
    <w:p w14:paraId="26780725" w14:textId="698BF229" w:rsidR="0033354B" w:rsidRPr="00D966E0" w:rsidRDefault="00D966E0" w:rsidP="00D966E0">
      <w:pPr>
        <w:pStyle w:val="ListParagraph"/>
        <w:numPr>
          <w:ilvl w:val="0"/>
          <w:numId w:val="8"/>
        </w:numPr>
        <w:rPr>
          <w:b/>
        </w:rPr>
      </w:pPr>
      <w:r>
        <w:rPr>
          <w:bCs/>
        </w:rPr>
        <w:lastRenderedPageBreak/>
        <w:t>We need to collectively prepare as a nation for future emergency responses to ensure we identify vulnerable populations and have a structure for addressing disparities</w:t>
      </w:r>
    </w:p>
    <w:p w14:paraId="38D6056F" w14:textId="33EB44B5" w:rsidR="00D966E0" w:rsidRPr="004D17BC" w:rsidRDefault="004D17BC" w:rsidP="00D966E0">
      <w:pPr>
        <w:pStyle w:val="ListParagraph"/>
        <w:numPr>
          <w:ilvl w:val="0"/>
          <w:numId w:val="8"/>
        </w:numPr>
        <w:rPr>
          <w:b/>
        </w:rPr>
      </w:pPr>
      <w:r>
        <w:rPr>
          <w:bCs/>
        </w:rPr>
        <w:t>Research examining social determinants and barriers is needed particularly among the disability populations</w:t>
      </w:r>
    </w:p>
    <w:p w14:paraId="63B79A8F" w14:textId="1549F17C" w:rsidR="004D17BC" w:rsidRPr="00D966E0" w:rsidRDefault="004D17BC" w:rsidP="00D966E0">
      <w:pPr>
        <w:pStyle w:val="ListParagraph"/>
        <w:numPr>
          <w:ilvl w:val="0"/>
          <w:numId w:val="8"/>
        </w:numPr>
        <w:rPr>
          <w:b/>
        </w:rPr>
      </w:pPr>
      <w:r>
        <w:rPr>
          <w:bCs/>
        </w:rPr>
        <w:t xml:space="preserve">Information gathered from this work must be shared with service providers to establish the gaps and start discussions for how to address them in practice and policy. </w:t>
      </w:r>
    </w:p>
    <w:p w14:paraId="315E832E" w14:textId="77777777" w:rsidR="0033354B" w:rsidRDefault="0033354B">
      <w:pPr>
        <w:rPr>
          <w:b/>
        </w:rPr>
      </w:pPr>
    </w:p>
    <w:p w14:paraId="35621442" w14:textId="2C05BE17" w:rsidR="00056CD1" w:rsidRDefault="00F47A85">
      <w:r>
        <w:rPr>
          <w:b/>
        </w:rPr>
        <w:t xml:space="preserve">Highlighted </w:t>
      </w:r>
      <w:r w:rsidR="0033354B">
        <w:rPr>
          <w:b/>
        </w:rPr>
        <w:t>References:</w:t>
      </w:r>
      <w:r w:rsidR="00946830">
        <w:t xml:space="preserve"> </w:t>
      </w:r>
    </w:p>
    <w:p w14:paraId="364071D4" w14:textId="615B9FF0" w:rsidR="004D17BC" w:rsidRDefault="004D17BC"/>
    <w:p w14:paraId="112923E6" w14:textId="77777777" w:rsidR="00F47A85" w:rsidRPr="00F47A85" w:rsidRDefault="00F47A85" w:rsidP="00F47A85">
      <w:pPr>
        <w:rPr>
          <w:rFonts w:ascii="Times New Roman" w:eastAsia="Times New Roman" w:hAnsi="Times New Roman" w:cs="Times New Roman"/>
        </w:rPr>
      </w:pPr>
      <w:r w:rsidRPr="00F47A85">
        <w:rPr>
          <w:rFonts w:ascii="Arial" w:eastAsia="Times New Roman" w:hAnsi="Arial" w:cs="Arial"/>
          <w:color w:val="222222"/>
          <w:sz w:val="20"/>
          <w:szCs w:val="20"/>
          <w:shd w:val="clear" w:color="auto" w:fill="FFFFFF"/>
        </w:rPr>
        <w:t xml:space="preserve">Andrews, E.E., Ayers, K.B., Brown, K.S., Dunn, D.S. and </w:t>
      </w:r>
      <w:proofErr w:type="spellStart"/>
      <w:r w:rsidRPr="00F47A85">
        <w:rPr>
          <w:rFonts w:ascii="Arial" w:eastAsia="Times New Roman" w:hAnsi="Arial" w:cs="Arial"/>
          <w:color w:val="222222"/>
          <w:sz w:val="20"/>
          <w:szCs w:val="20"/>
          <w:shd w:val="clear" w:color="auto" w:fill="FFFFFF"/>
        </w:rPr>
        <w:t>Pilarski</w:t>
      </w:r>
      <w:proofErr w:type="spellEnd"/>
      <w:r w:rsidRPr="00F47A85">
        <w:rPr>
          <w:rFonts w:ascii="Arial" w:eastAsia="Times New Roman" w:hAnsi="Arial" w:cs="Arial"/>
          <w:color w:val="222222"/>
          <w:sz w:val="20"/>
          <w:szCs w:val="20"/>
          <w:shd w:val="clear" w:color="auto" w:fill="FFFFFF"/>
        </w:rPr>
        <w:t xml:space="preserve">, C.R., 2020. </w:t>
      </w:r>
      <w:proofErr w:type="spellStart"/>
      <w:r w:rsidRPr="00F47A85">
        <w:rPr>
          <w:rFonts w:ascii="Arial" w:eastAsia="Times New Roman" w:hAnsi="Arial" w:cs="Arial"/>
          <w:color w:val="222222"/>
          <w:sz w:val="20"/>
          <w:szCs w:val="20"/>
          <w:shd w:val="clear" w:color="auto" w:fill="FFFFFF"/>
        </w:rPr>
        <w:t>No body</w:t>
      </w:r>
      <w:proofErr w:type="spellEnd"/>
      <w:r w:rsidRPr="00F47A85">
        <w:rPr>
          <w:rFonts w:ascii="Arial" w:eastAsia="Times New Roman" w:hAnsi="Arial" w:cs="Arial"/>
          <w:color w:val="222222"/>
          <w:sz w:val="20"/>
          <w:szCs w:val="20"/>
          <w:shd w:val="clear" w:color="auto" w:fill="FFFFFF"/>
        </w:rPr>
        <w:t xml:space="preserve"> is expendable: Medical rationing and disability justice during the COVID-19 pandemic. </w:t>
      </w:r>
      <w:r w:rsidRPr="00F47A85">
        <w:rPr>
          <w:rFonts w:ascii="Arial" w:eastAsia="Times New Roman" w:hAnsi="Arial" w:cs="Arial"/>
          <w:i/>
          <w:iCs/>
          <w:color w:val="222222"/>
          <w:sz w:val="20"/>
          <w:szCs w:val="20"/>
        </w:rPr>
        <w:t>American Psychologist</w:t>
      </w:r>
      <w:r w:rsidRPr="00F47A85">
        <w:rPr>
          <w:rFonts w:ascii="Arial" w:eastAsia="Times New Roman" w:hAnsi="Arial" w:cs="Arial"/>
          <w:color w:val="222222"/>
          <w:sz w:val="20"/>
          <w:szCs w:val="20"/>
          <w:shd w:val="clear" w:color="auto" w:fill="FFFFFF"/>
        </w:rPr>
        <w:t>.</w:t>
      </w:r>
    </w:p>
    <w:p w14:paraId="1313B6CC" w14:textId="7252E3C0" w:rsidR="004D17BC" w:rsidRDefault="004D17BC"/>
    <w:p w14:paraId="2B3923C6" w14:textId="77777777" w:rsidR="00F47A85" w:rsidRPr="00F47A85" w:rsidRDefault="00F47A85" w:rsidP="00F47A85">
      <w:pPr>
        <w:rPr>
          <w:rFonts w:ascii="Times New Roman" w:eastAsia="Times New Roman" w:hAnsi="Times New Roman" w:cs="Times New Roman"/>
        </w:rPr>
      </w:pPr>
      <w:proofErr w:type="spellStart"/>
      <w:r w:rsidRPr="00F47A85">
        <w:rPr>
          <w:rFonts w:ascii="Arial" w:eastAsia="Times New Roman" w:hAnsi="Arial" w:cs="Arial"/>
          <w:color w:val="222222"/>
          <w:sz w:val="20"/>
          <w:szCs w:val="20"/>
          <w:shd w:val="clear" w:color="auto" w:fill="FFFFFF"/>
        </w:rPr>
        <w:t>Singu</w:t>
      </w:r>
      <w:proofErr w:type="spellEnd"/>
      <w:r w:rsidRPr="00F47A85">
        <w:rPr>
          <w:rFonts w:ascii="Arial" w:eastAsia="Times New Roman" w:hAnsi="Arial" w:cs="Arial"/>
          <w:color w:val="222222"/>
          <w:sz w:val="20"/>
          <w:szCs w:val="20"/>
          <w:shd w:val="clear" w:color="auto" w:fill="FFFFFF"/>
        </w:rPr>
        <w:t xml:space="preserve">, S., Acharya, A., </w:t>
      </w:r>
      <w:proofErr w:type="spellStart"/>
      <w:r w:rsidRPr="00F47A85">
        <w:rPr>
          <w:rFonts w:ascii="Arial" w:eastAsia="Times New Roman" w:hAnsi="Arial" w:cs="Arial"/>
          <w:color w:val="222222"/>
          <w:sz w:val="20"/>
          <w:szCs w:val="20"/>
          <w:shd w:val="clear" w:color="auto" w:fill="FFFFFF"/>
        </w:rPr>
        <w:t>Challagundla</w:t>
      </w:r>
      <w:proofErr w:type="spellEnd"/>
      <w:r w:rsidRPr="00F47A85">
        <w:rPr>
          <w:rFonts w:ascii="Arial" w:eastAsia="Times New Roman" w:hAnsi="Arial" w:cs="Arial"/>
          <w:color w:val="222222"/>
          <w:sz w:val="20"/>
          <w:szCs w:val="20"/>
          <w:shd w:val="clear" w:color="auto" w:fill="FFFFFF"/>
        </w:rPr>
        <w:t xml:space="preserve">, K. and </w:t>
      </w:r>
      <w:proofErr w:type="spellStart"/>
      <w:r w:rsidRPr="00F47A85">
        <w:rPr>
          <w:rFonts w:ascii="Arial" w:eastAsia="Times New Roman" w:hAnsi="Arial" w:cs="Arial"/>
          <w:color w:val="222222"/>
          <w:sz w:val="20"/>
          <w:szCs w:val="20"/>
          <w:shd w:val="clear" w:color="auto" w:fill="FFFFFF"/>
        </w:rPr>
        <w:t>Byrareddy</w:t>
      </w:r>
      <w:proofErr w:type="spellEnd"/>
      <w:r w:rsidRPr="00F47A85">
        <w:rPr>
          <w:rFonts w:ascii="Arial" w:eastAsia="Times New Roman" w:hAnsi="Arial" w:cs="Arial"/>
          <w:color w:val="222222"/>
          <w:sz w:val="20"/>
          <w:szCs w:val="20"/>
          <w:shd w:val="clear" w:color="auto" w:fill="FFFFFF"/>
        </w:rPr>
        <w:t>, S.N., 2020. Impact of social determinants of health on the emerging COVID-19 pandemic in the United States. </w:t>
      </w:r>
      <w:r w:rsidRPr="00F47A85">
        <w:rPr>
          <w:rFonts w:ascii="Arial" w:eastAsia="Times New Roman" w:hAnsi="Arial" w:cs="Arial"/>
          <w:i/>
          <w:iCs/>
          <w:color w:val="222222"/>
          <w:sz w:val="20"/>
          <w:szCs w:val="20"/>
        </w:rPr>
        <w:t>Frontiers in public health</w:t>
      </w:r>
      <w:r w:rsidRPr="00F47A85">
        <w:rPr>
          <w:rFonts w:ascii="Arial" w:eastAsia="Times New Roman" w:hAnsi="Arial" w:cs="Arial"/>
          <w:color w:val="222222"/>
          <w:sz w:val="20"/>
          <w:szCs w:val="20"/>
          <w:shd w:val="clear" w:color="auto" w:fill="FFFFFF"/>
        </w:rPr>
        <w:t>, </w:t>
      </w:r>
      <w:r w:rsidRPr="00F47A85">
        <w:rPr>
          <w:rFonts w:ascii="Arial" w:eastAsia="Times New Roman" w:hAnsi="Arial" w:cs="Arial"/>
          <w:i/>
          <w:iCs/>
          <w:color w:val="222222"/>
          <w:sz w:val="20"/>
          <w:szCs w:val="20"/>
        </w:rPr>
        <w:t>8</w:t>
      </w:r>
      <w:r w:rsidRPr="00F47A85">
        <w:rPr>
          <w:rFonts w:ascii="Arial" w:eastAsia="Times New Roman" w:hAnsi="Arial" w:cs="Arial"/>
          <w:color w:val="222222"/>
          <w:sz w:val="20"/>
          <w:szCs w:val="20"/>
          <w:shd w:val="clear" w:color="auto" w:fill="FFFFFF"/>
        </w:rPr>
        <w:t>.</w:t>
      </w:r>
    </w:p>
    <w:p w14:paraId="70F83B9A" w14:textId="4A1E2B3D" w:rsidR="00F47A85" w:rsidRDefault="00F47A85"/>
    <w:p w14:paraId="1304EC1F" w14:textId="77777777" w:rsidR="00F47A85" w:rsidRPr="00F47A85" w:rsidRDefault="00F47A85" w:rsidP="00F47A85">
      <w:pPr>
        <w:rPr>
          <w:rFonts w:ascii="Times New Roman" w:eastAsia="Times New Roman" w:hAnsi="Times New Roman" w:cs="Times New Roman"/>
        </w:rPr>
      </w:pPr>
      <w:r w:rsidRPr="00F47A85">
        <w:rPr>
          <w:rFonts w:ascii="Arial" w:eastAsia="Times New Roman" w:hAnsi="Arial" w:cs="Arial"/>
          <w:color w:val="222222"/>
          <w:sz w:val="20"/>
          <w:szCs w:val="20"/>
          <w:shd w:val="clear" w:color="auto" w:fill="FFFFFF"/>
        </w:rPr>
        <w:t xml:space="preserve">Abedi, V., </w:t>
      </w:r>
      <w:proofErr w:type="spellStart"/>
      <w:r w:rsidRPr="00F47A85">
        <w:rPr>
          <w:rFonts w:ascii="Arial" w:eastAsia="Times New Roman" w:hAnsi="Arial" w:cs="Arial"/>
          <w:color w:val="222222"/>
          <w:sz w:val="20"/>
          <w:szCs w:val="20"/>
          <w:shd w:val="clear" w:color="auto" w:fill="FFFFFF"/>
        </w:rPr>
        <w:t>Olulana</w:t>
      </w:r>
      <w:proofErr w:type="spellEnd"/>
      <w:r w:rsidRPr="00F47A85">
        <w:rPr>
          <w:rFonts w:ascii="Arial" w:eastAsia="Times New Roman" w:hAnsi="Arial" w:cs="Arial"/>
          <w:color w:val="222222"/>
          <w:sz w:val="20"/>
          <w:szCs w:val="20"/>
          <w:shd w:val="clear" w:color="auto" w:fill="FFFFFF"/>
        </w:rPr>
        <w:t xml:space="preserve">, O., </w:t>
      </w:r>
      <w:proofErr w:type="spellStart"/>
      <w:r w:rsidRPr="00F47A85">
        <w:rPr>
          <w:rFonts w:ascii="Arial" w:eastAsia="Times New Roman" w:hAnsi="Arial" w:cs="Arial"/>
          <w:color w:val="222222"/>
          <w:sz w:val="20"/>
          <w:szCs w:val="20"/>
          <w:shd w:val="clear" w:color="auto" w:fill="FFFFFF"/>
        </w:rPr>
        <w:t>Avula</w:t>
      </w:r>
      <w:proofErr w:type="spellEnd"/>
      <w:r w:rsidRPr="00F47A85">
        <w:rPr>
          <w:rFonts w:ascii="Arial" w:eastAsia="Times New Roman" w:hAnsi="Arial" w:cs="Arial"/>
          <w:color w:val="222222"/>
          <w:sz w:val="20"/>
          <w:szCs w:val="20"/>
          <w:shd w:val="clear" w:color="auto" w:fill="FFFFFF"/>
        </w:rPr>
        <w:t xml:space="preserve">, V., Chaudhary, D., Khan, A., </w:t>
      </w:r>
      <w:proofErr w:type="spellStart"/>
      <w:r w:rsidRPr="00F47A85">
        <w:rPr>
          <w:rFonts w:ascii="Arial" w:eastAsia="Times New Roman" w:hAnsi="Arial" w:cs="Arial"/>
          <w:color w:val="222222"/>
          <w:sz w:val="20"/>
          <w:szCs w:val="20"/>
          <w:shd w:val="clear" w:color="auto" w:fill="FFFFFF"/>
        </w:rPr>
        <w:t>Shahjouei</w:t>
      </w:r>
      <w:proofErr w:type="spellEnd"/>
      <w:r w:rsidRPr="00F47A85">
        <w:rPr>
          <w:rFonts w:ascii="Arial" w:eastAsia="Times New Roman" w:hAnsi="Arial" w:cs="Arial"/>
          <w:color w:val="222222"/>
          <w:sz w:val="20"/>
          <w:szCs w:val="20"/>
          <w:shd w:val="clear" w:color="auto" w:fill="FFFFFF"/>
        </w:rPr>
        <w:t xml:space="preserve">, S., Li, J. and </w:t>
      </w:r>
      <w:proofErr w:type="spellStart"/>
      <w:r w:rsidRPr="00F47A85">
        <w:rPr>
          <w:rFonts w:ascii="Arial" w:eastAsia="Times New Roman" w:hAnsi="Arial" w:cs="Arial"/>
          <w:color w:val="222222"/>
          <w:sz w:val="20"/>
          <w:szCs w:val="20"/>
          <w:shd w:val="clear" w:color="auto" w:fill="FFFFFF"/>
        </w:rPr>
        <w:t>Zand</w:t>
      </w:r>
      <w:proofErr w:type="spellEnd"/>
      <w:r w:rsidRPr="00F47A85">
        <w:rPr>
          <w:rFonts w:ascii="Arial" w:eastAsia="Times New Roman" w:hAnsi="Arial" w:cs="Arial"/>
          <w:color w:val="222222"/>
          <w:sz w:val="20"/>
          <w:szCs w:val="20"/>
          <w:shd w:val="clear" w:color="auto" w:fill="FFFFFF"/>
        </w:rPr>
        <w:t>, R., 2020. Racial, economic, and health inequality and COVID-19 Infection in the United States. </w:t>
      </w:r>
      <w:r w:rsidRPr="00F47A85">
        <w:rPr>
          <w:rFonts w:ascii="Arial" w:eastAsia="Times New Roman" w:hAnsi="Arial" w:cs="Arial"/>
          <w:i/>
          <w:iCs/>
          <w:color w:val="222222"/>
          <w:sz w:val="20"/>
          <w:szCs w:val="20"/>
        </w:rPr>
        <w:t>Journal of racial and ethnic health disparities</w:t>
      </w:r>
      <w:r w:rsidRPr="00F47A85">
        <w:rPr>
          <w:rFonts w:ascii="Arial" w:eastAsia="Times New Roman" w:hAnsi="Arial" w:cs="Arial"/>
          <w:color w:val="222222"/>
          <w:sz w:val="20"/>
          <w:szCs w:val="20"/>
          <w:shd w:val="clear" w:color="auto" w:fill="FFFFFF"/>
        </w:rPr>
        <w:t>, pp.1-11.</w:t>
      </w:r>
    </w:p>
    <w:p w14:paraId="026D9882" w14:textId="3EE31D81" w:rsidR="00F47A85" w:rsidRDefault="00F47A85"/>
    <w:p w14:paraId="7933F601" w14:textId="77777777" w:rsidR="00F47A85" w:rsidRPr="00F47A85" w:rsidRDefault="00F47A85" w:rsidP="00F47A85">
      <w:pPr>
        <w:rPr>
          <w:rFonts w:ascii="Times New Roman" w:eastAsia="Times New Roman" w:hAnsi="Times New Roman" w:cs="Times New Roman"/>
        </w:rPr>
      </w:pPr>
      <w:proofErr w:type="spellStart"/>
      <w:r w:rsidRPr="00F47A85">
        <w:rPr>
          <w:rFonts w:ascii="Arial" w:eastAsia="Times New Roman" w:hAnsi="Arial" w:cs="Arial"/>
          <w:color w:val="222222"/>
          <w:sz w:val="20"/>
          <w:szCs w:val="20"/>
          <w:shd w:val="clear" w:color="auto" w:fill="FFFFFF"/>
        </w:rPr>
        <w:t>Sabatello</w:t>
      </w:r>
      <w:proofErr w:type="spellEnd"/>
      <w:r w:rsidRPr="00F47A85">
        <w:rPr>
          <w:rFonts w:ascii="Arial" w:eastAsia="Times New Roman" w:hAnsi="Arial" w:cs="Arial"/>
          <w:color w:val="222222"/>
          <w:sz w:val="20"/>
          <w:szCs w:val="20"/>
          <w:shd w:val="clear" w:color="auto" w:fill="FFFFFF"/>
        </w:rPr>
        <w:t xml:space="preserve">, M., </w:t>
      </w:r>
      <w:proofErr w:type="spellStart"/>
      <w:r w:rsidRPr="00F47A85">
        <w:rPr>
          <w:rFonts w:ascii="Arial" w:eastAsia="Times New Roman" w:hAnsi="Arial" w:cs="Arial"/>
          <w:color w:val="222222"/>
          <w:sz w:val="20"/>
          <w:szCs w:val="20"/>
          <w:shd w:val="clear" w:color="auto" w:fill="FFFFFF"/>
        </w:rPr>
        <w:t>Landes</w:t>
      </w:r>
      <w:proofErr w:type="spellEnd"/>
      <w:r w:rsidRPr="00F47A85">
        <w:rPr>
          <w:rFonts w:ascii="Arial" w:eastAsia="Times New Roman" w:hAnsi="Arial" w:cs="Arial"/>
          <w:color w:val="222222"/>
          <w:sz w:val="20"/>
          <w:szCs w:val="20"/>
          <w:shd w:val="clear" w:color="auto" w:fill="FFFFFF"/>
        </w:rPr>
        <w:t xml:space="preserve">, S.D. and McDonald, K.E., 2020. People </w:t>
      </w:r>
      <w:proofErr w:type="gramStart"/>
      <w:r w:rsidRPr="00F47A85">
        <w:rPr>
          <w:rFonts w:ascii="Arial" w:eastAsia="Times New Roman" w:hAnsi="Arial" w:cs="Arial"/>
          <w:color w:val="222222"/>
          <w:sz w:val="20"/>
          <w:szCs w:val="20"/>
          <w:shd w:val="clear" w:color="auto" w:fill="FFFFFF"/>
        </w:rPr>
        <w:t>With</w:t>
      </w:r>
      <w:proofErr w:type="gramEnd"/>
      <w:r w:rsidRPr="00F47A85">
        <w:rPr>
          <w:rFonts w:ascii="Arial" w:eastAsia="Times New Roman" w:hAnsi="Arial" w:cs="Arial"/>
          <w:color w:val="222222"/>
          <w:sz w:val="20"/>
          <w:szCs w:val="20"/>
          <w:shd w:val="clear" w:color="auto" w:fill="FFFFFF"/>
        </w:rPr>
        <w:t xml:space="preserve"> Disabilities in COVID-19: Fixing Our Priorities. </w:t>
      </w:r>
      <w:r w:rsidRPr="00F47A85">
        <w:rPr>
          <w:rFonts w:ascii="Arial" w:eastAsia="Times New Roman" w:hAnsi="Arial" w:cs="Arial"/>
          <w:i/>
          <w:iCs/>
          <w:color w:val="222222"/>
          <w:sz w:val="20"/>
          <w:szCs w:val="20"/>
        </w:rPr>
        <w:t>The American Journal of Bioethics</w:t>
      </w:r>
      <w:r w:rsidRPr="00F47A85">
        <w:rPr>
          <w:rFonts w:ascii="Arial" w:eastAsia="Times New Roman" w:hAnsi="Arial" w:cs="Arial"/>
          <w:color w:val="222222"/>
          <w:sz w:val="20"/>
          <w:szCs w:val="20"/>
          <w:shd w:val="clear" w:color="auto" w:fill="FFFFFF"/>
        </w:rPr>
        <w:t>, </w:t>
      </w:r>
      <w:r w:rsidRPr="00F47A85">
        <w:rPr>
          <w:rFonts w:ascii="Arial" w:eastAsia="Times New Roman" w:hAnsi="Arial" w:cs="Arial"/>
          <w:i/>
          <w:iCs/>
          <w:color w:val="222222"/>
          <w:sz w:val="20"/>
          <w:szCs w:val="20"/>
        </w:rPr>
        <w:t>20</w:t>
      </w:r>
      <w:r w:rsidRPr="00F47A85">
        <w:rPr>
          <w:rFonts w:ascii="Arial" w:eastAsia="Times New Roman" w:hAnsi="Arial" w:cs="Arial"/>
          <w:color w:val="222222"/>
          <w:sz w:val="20"/>
          <w:szCs w:val="20"/>
          <w:shd w:val="clear" w:color="auto" w:fill="FFFFFF"/>
        </w:rPr>
        <w:t>(7), pp.187-190.</w:t>
      </w:r>
    </w:p>
    <w:p w14:paraId="29EFB934" w14:textId="59717534" w:rsidR="00F47A85" w:rsidRDefault="00F47A85"/>
    <w:p w14:paraId="218961FC" w14:textId="77777777" w:rsidR="00F47A85" w:rsidRPr="00F47A85" w:rsidRDefault="00F47A85" w:rsidP="00F47A85">
      <w:pPr>
        <w:rPr>
          <w:rFonts w:ascii="Times New Roman" w:eastAsia="Times New Roman" w:hAnsi="Times New Roman" w:cs="Times New Roman"/>
        </w:rPr>
      </w:pPr>
      <w:proofErr w:type="spellStart"/>
      <w:r w:rsidRPr="00F47A85">
        <w:rPr>
          <w:rFonts w:ascii="Arial" w:eastAsia="Times New Roman" w:hAnsi="Arial" w:cs="Arial"/>
          <w:color w:val="222222"/>
          <w:sz w:val="20"/>
          <w:szCs w:val="20"/>
          <w:shd w:val="clear" w:color="auto" w:fill="FFFFFF"/>
        </w:rPr>
        <w:t>O'Gurek</w:t>
      </w:r>
      <w:proofErr w:type="spellEnd"/>
      <w:r w:rsidRPr="00F47A85">
        <w:rPr>
          <w:rFonts w:ascii="Arial" w:eastAsia="Times New Roman" w:hAnsi="Arial" w:cs="Arial"/>
          <w:color w:val="222222"/>
          <w:sz w:val="20"/>
          <w:szCs w:val="20"/>
          <w:shd w:val="clear" w:color="auto" w:fill="FFFFFF"/>
        </w:rPr>
        <w:t>, D.T. and Henke, C., 2018. A practical approach to screening for social determinants of health. </w:t>
      </w:r>
      <w:r w:rsidRPr="00F47A85">
        <w:rPr>
          <w:rFonts w:ascii="Arial" w:eastAsia="Times New Roman" w:hAnsi="Arial" w:cs="Arial"/>
          <w:i/>
          <w:iCs/>
          <w:color w:val="222222"/>
          <w:sz w:val="20"/>
          <w:szCs w:val="20"/>
        </w:rPr>
        <w:t>Family practice management</w:t>
      </w:r>
      <w:r w:rsidRPr="00F47A85">
        <w:rPr>
          <w:rFonts w:ascii="Arial" w:eastAsia="Times New Roman" w:hAnsi="Arial" w:cs="Arial"/>
          <w:color w:val="222222"/>
          <w:sz w:val="20"/>
          <w:szCs w:val="20"/>
          <w:shd w:val="clear" w:color="auto" w:fill="FFFFFF"/>
        </w:rPr>
        <w:t>, </w:t>
      </w:r>
      <w:r w:rsidRPr="00F47A85">
        <w:rPr>
          <w:rFonts w:ascii="Arial" w:eastAsia="Times New Roman" w:hAnsi="Arial" w:cs="Arial"/>
          <w:i/>
          <w:iCs/>
          <w:color w:val="222222"/>
          <w:sz w:val="20"/>
          <w:szCs w:val="20"/>
        </w:rPr>
        <w:t>25</w:t>
      </w:r>
      <w:r w:rsidRPr="00F47A85">
        <w:rPr>
          <w:rFonts w:ascii="Arial" w:eastAsia="Times New Roman" w:hAnsi="Arial" w:cs="Arial"/>
          <w:color w:val="222222"/>
          <w:sz w:val="20"/>
          <w:szCs w:val="20"/>
          <w:shd w:val="clear" w:color="auto" w:fill="FFFFFF"/>
        </w:rPr>
        <w:t>(3), pp.7-12.</w:t>
      </w:r>
    </w:p>
    <w:p w14:paraId="70AA3B02" w14:textId="2E80C09D" w:rsidR="00F47A85" w:rsidRDefault="00F47A85"/>
    <w:p w14:paraId="1D5646FB" w14:textId="77777777" w:rsidR="00F47A85" w:rsidRPr="00F47A85" w:rsidRDefault="00F47A85" w:rsidP="00F47A85">
      <w:pPr>
        <w:rPr>
          <w:rFonts w:ascii="Times New Roman" w:eastAsia="Times New Roman" w:hAnsi="Times New Roman" w:cs="Times New Roman"/>
        </w:rPr>
      </w:pPr>
      <w:r w:rsidRPr="00F47A85">
        <w:rPr>
          <w:rFonts w:ascii="Arial" w:eastAsia="Times New Roman" w:hAnsi="Arial" w:cs="Arial"/>
          <w:color w:val="222222"/>
          <w:sz w:val="20"/>
          <w:szCs w:val="20"/>
          <w:shd w:val="clear" w:color="auto" w:fill="FFFFFF"/>
        </w:rPr>
        <w:t>Lynch, J., 2020. Health Equity, Social Policy, and Promoting Recovery from COVID-19. </w:t>
      </w:r>
      <w:r w:rsidRPr="00F47A85">
        <w:rPr>
          <w:rFonts w:ascii="Arial" w:eastAsia="Times New Roman" w:hAnsi="Arial" w:cs="Arial"/>
          <w:i/>
          <w:iCs/>
          <w:color w:val="222222"/>
          <w:sz w:val="20"/>
          <w:szCs w:val="20"/>
        </w:rPr>
        <w:t>Journal of Health Politics, Policy and Law</w:t>
      </w:r>
      <w:r w:rsidRPr="00F47A85">
        <w:rPr>
          <w:rFonts w:ascii="Arial" w:eastAsia="Times New Roman" w:hAnsi="Arial" w:cs="Arial"/>
          <w:color w:val="222222"/>
          <w:sz w:val="20"/>
          <w:szCs w:val="20"/>
          <w:shd w:val="clear" w:color="auto" w:fill="FFFFFF"/>
        </w:rPr>
        <w:t>.</w:t>
      </w:r>
    </w:p>
    <w:p w14:paraId="1C6A0621" w14:textId="11EDDA3C" w:rsidR="00F47A85" w:rsidRDefault="00F47A85"/>
    <w:p w14:paraId="6B05AC9C" w14:textId="77777777" w:rsidR="00F47A85" w:rsidRPr="00F47A85" w:rsidRDefault="00F47A85" w:rsidP="00F47A85">
      <w:pPr>
        <w:rPr>
          <w:rFonts w:ascii="Times New Roman" w:eastAsia="Times New Roman" w:hAnsi="Times New Roman" w:cs="Times New Roman"/>
        </w:rPr>
      </w:pPr>
      <w:r w:rsidRPr="00F47A85">
        <w:rPr>
          <w:rFonts w:ascii="Arial" w:eastAsia="Times New Roman" w:hAnsi="Arial" w:cs="Arial"/>
          <w:color w:val="222222"/>
          <w:sz w:val="20"/>
          <w:szCs w:val="20"/>
          <w:shd w:val="clear" w:color="auto" w:fill="FFFFFF"/>
        </w:rPr>
        <w:t xml:space="preserve">Bradley, V.J., 2020. How COVID-19 May Change the World of Services to People </w:t>
      </w:r>
      <w:proofErr w:type="gramStart"/>
      <w:r w:rsidRPr="00F47A85">
        <w:rPr>
          <w:rFonts w:ascii="Arial" w:eastAsia="Times New Roman" w:hAnsi="Arial" w:cs="Arial"/>
          <w:color w:val="222222"/>
          <w:sz w:val="20"/>
          <w:szCs w:val="20"/>
          <w:shd w:val="clear" w:color="auto" w:fill="FFFFFF"/>
        </w:rPr>
        <w:t>With</w:t>
      </w:r>
      <w:proofErr w:type="gramEnd"/>
      <w:r w:rsidRPr="00F47A85">
        <w:rPr>
          <w:rFonts w:ascii="Arial" w:eastAsia="Times New Roman" w:hAnsi="Arial" w:cs="Arial"/>
          <w:color w:val="222222"/>
          <w:sz w:val="20"/>
          <w:szCs w:val="20"/>
          <w:shd w:val="clear" w:color="auto" w:fill="FFFFFF"/>
        </w:rPr>
        <w:t xml:space="preserve"> Intellectual and Developmental Disabilities. </w:t>
      </w:r>
      <w:r w:rsidRPr="00F47A85">
        <w:rPr>
          <w:rFonts w:ascii="Arial" w:eastAsia="Times New Roman" w:hAnsi="Arial" w:cs="Arial"/>
          <w:i/>
          <w:iCs/>
          <w:color w:val="222222"/>
          <w:sz w:val="20"/>
          <w:szCs w:val="20"/>
        </w:rPr>
        <w:t>Intellectual and Developmental Disabilities</w:t>
      </w:r>
      <w:r w:rsidRPr="00F47A85">
        <w:rPr>
          <w:rFonts w:ascii="Arial" w:eastAsia="Times New Roman" w:hAnsi="Arial" w:cs="Arial"/>
          <w:color w:val="222222"/>
          <w:sz w:val="20"/>
          <w:szCs w:val="20"/>
          <w:shd w:val="clear" w:color="auto" w:fill="FFFFFF"/>
        </w:rPr>
        <w:t>, </w:t>
      </w:r>
      <w:r w:rsidRPr="00F47A85">
        <w:rPr>
          <w:rFonts w:ascii="Arial" w:eastAsia="Times New Roman" w:hAnsi="Arial" w:cs="Arial"/>
          <w:i/>
          <w:iCs/>
          <w:color w:val="222222"/>
          <w:sz w:val="20"/>
          <w:szCs w:val="20"/>
        </w:rPr>
        <w:t>58</w:t>
      </w:r>
      <w:r w:rsidRPr="00F47A85">
        <w:rPr>
          <w:rFonts w:ascii="Arial" w:eastAsia="Times New Roman" w:hAnsi="Arial" w:cs="Arial"/>
          <w:color w:val="222222"/>
          <w:sz w:val="20"/>
          <w:szCs w:val="20"/>
          <w:shd w:val="clear" w:color="auto" w:fill="FFFFFF"/>
        </w:rPr>
        <w:t>(5), pp.355-360.</w:t>
      </w:r>
    </w:p>
    <w:p w14:paraId="6CD9FB79" w14:textId="53BBCC3D" w:rsidR="00F47A85" w:rsidRDefault="00F47A85"/>
    <w:p w14:paraId="64FF3701" w14:textId="77777777" w:rsidR="00F47A85" w:rsidRPr="00F47A85" w:rsidRDefault="00F47A85" w:rsidP="00F47A85">
      <w:pPr>
        <w:rPr>
          <w:rFonts w:ascii="Times New Roman" w:eastAsia="Times New Roman" w:hAnsi="Times New Roman" w:cs="Times New Roman"/>
        </w:rPr>
      </w:pPr>
      <w:r w:rsidRPr="00F47A85">
        <w:rPr>
          <w:rFonts w:ascii="Arial" w:eastAsia="Times New Roman" w:hAnsi="Arial" w:cs="Arial"/>
          <w:color w:val="222222"/>
          <w:sz w:val="20"/>
          <w:szCs w:val="20"/>
          <w:shd w:val="clear" w:color="auto" w:fill="FFFFFF"/>
        </w:rPr>
        <w:t>Lee, Y.J., 2020. The Impact of the COVID-19 Pandemic on Vulnerable Older Adults in the United States. </w:t>
      </w:r>
      <w:r w:rsidRPr="00F47A85">
        <w:rPr>
          <w:rFonts w:ascii="Arial" w:eastAsia="Times New Roman" w:hAnsi="Arial" w:cs="Arial"/>
          <w:i/>
          <w:iCs/>
          <w:color w:val="222222"/>
          <w:sz w:val="20"/>
          <w:szCs w:val="20"/>
        </w:rPr>
        <w:t>Journal of Gerontological Social Work</w:t>
      </w:r>
      <w:r w:rsidRPr="00F47A85">
        <w:rPr>
          <w:rFonts w:ascii="Arial" w:eastAsia="Times New Roman" w:hAnsi="Arial" w:cs="Arial"/>
          <w:color w:val="222222"/>
          <w:sz w:val="20"/>
          <w:szCs w:val="20"/>
          <w:shd w:val="clear" w:color="auto" w:fill="FFFFFF"/>
        </w:rPr>
        <w:t>, pp.1-6.</w:t>
      </w:r>
    </w:p>
    <w:p w14:paraId="66972BD5" w14:textId="77777777" w:rsidR="00F47A85" w:rsidRDefault="00F47A85"/>
    <w:sectPr w:rsidR="00F47A85" w:rsidSect="00352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B781B"/>
    <w:multiLevelType w:val="hybridMultilevel"/>
    <w:tmpl w:val="E5DC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D34F4"/>
    <w:multiLevelType w:val="hybridMultilevel"/>
    <w:tmpl w:val="6C44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76449"/>
    <w:multiLevelType w:val="hybridMultilevel"/>
    <w:tmpl w:val="4488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F52B5"/>
    <w:multiLevelType w:val="hybridMultilevel"/>
    <w:tmpl w:val="68C4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E31C2"/>
    <w:multiLevelType w:val="hybridMultilevel"/>
    <w:tmpl w:val="159E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60D94"/>
    <w:multiLevelType w:val="hybridMultilevel"/>
    <w:tmpl w:val="3A64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D375D"/>
    <w:multiLevelType w:val="hybridMultilevel"/>
    <w:tmpl w:val="749C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B650C"/>
    <w:multiLevelType w:val="hybridMultilevel"/>
    <w:tmpl w:val="9554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D1"/>
    <w:rsid w:val="00056CD1"/>
    <w:rsid w:val="002126F8"/>
    <w:rsid w:val="0022090F"/>
    <w:rsid w:val="00274066"/>
    <w:rsid w:val="0033354B"/>
    <w:rsid w:val="00352887"/>
    <w:rsid w:val="003742E4"/>
    <w:rsid w:val="0041113C"/>
    <w:rsid w:val="004A43C7"/>
    <w:rsid w:val="004D17BC"/>
    <w:rsid w:val="00542123"/>
    <w:rsid w:val="006C3449"/>
    <w:rsid w:val="00755F24"/>
    <w:rsid w:val="00946830"/>
    <w:rsid w:val="009C3D11"/>
    <w:rsid w:val="00C16642"/>
    <w:rsid w:val="00CA5945"/>
    <w:rsid w:val="00D350AE"/>
    <w:rsid w:val="00D966E0"/>
    <w:rsid w:val="00DA4649"/>
    <w:rsid w:val="00F47A85"/>
    <w:rsid w:val="00F9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44FD"/>
  <w14:defaultImageDpi w14:val="32767"/>
  <w15:chartTrackingRefBased/>
  <w15:docId w15:val="{03B523BD-5C8A-544B-BFF4-B92C4E73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6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F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5F24"/>
    <w:rPr>
      <w:rFonts w:ascii="Times New Roman" w:hAnsi="Times New Roman" w:cs="Times New Roman"/>
      <w:sz w:val="18"/>
      <w:szCs w:val="18"/>
    </w:rPr>
  </w:style>
  <w:style w:type="paragraph" w:styleId="ListParagraph">
    <w:name w:val="List Paragraph"/>
    <w:basedOn w:val="Normal"/>
    <w:uiPriority w:val="34"/>
    <w:qFormat/>
    <w:rsid w:val="0033354B"/>
    <w:pPr>
      <w:ind w:left="720"/>
      <w:contextualSpacing/>
    </w:pPr>
  </w:style>
  <w:style w:type="character" w:customStyle="1" w:styleId="apple-converted-space">
    <w:name w:val="apple-converted-space"/>
    <w:basedOn w:val="DefaultParagraphFont"/>
    <w:rsid w:val="00F4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38855">
      <w:bodyDiv w:val="1"/>
      <w:marLeft w:val="0"/>
      <w:marRight w:val="0"/>
      <w:marTop w:val="0"/>
      <w:marBottom w:val="0"/>
      <w:divBdr>
        <w:top w:val="none" w:sz="0" w:space="0" w:color="auto"/>
        <w:left w:val="none" w:sz="0" w:space="0" w:color="auto"/>
        <w:bottom w:val="none" w:sz="0" w:space="0" w:color="auto"/>
        <w:right w:val="none" w:sz="0" w:space="0" w:color="auto"/>
      </w:divBdr>
    </w:div>
    <w:div w:id="589000346">
      <w:bodyDiv w:val="1"/>
      <w:marLeft w:val="0"/>
      <w:marRight w:val="0"/>
      <w:marTop w:val="0"/>
      <w:marBottom w:val="0"/>
      <w:divBdr>
        <w:top w:val="none" w:sz="0" w:space="0" w:color="auto"/>
        <w:left w:val="none" w:sz="0" w:space="0" w:color="auto"/>
        <w:bottom w:val="none" w:sz="0" w:space="0" w:color="auto"/>
        <w:right w:val="none" w:sz="0" w:space="0" w:color="auto"/>
      </w:divBdr>
    </w:div>
    <w:div w:id="638995388">
      <w:bodyDiv w:val="1"/>
      <w:marLeft w:val="0"/>
      <w:marRight w:val="0"/>
      <w:marTop w:val="0"/>
      <w:marBottom w:val="0"/>
      <w:divBdr>
        <w:top w:val="none" w:sz="0" w:space="0" w:color="auto"/>
        <w:left w:val="none" w:sz="0" w:space="0" w:color="auto"/>
        <w:bottom w:val="none" w:sz="0" w:space="0" w:color="auto"/>
        <w:right w:val="none" w:sz="0" w:space="0" w:color="auto"/>
      </w:divBdr>
    </w:div>
    <w:div w:id="1294095335">
      <w:bodyDiv w:val="1"/>
      <w:marLeft w:val="0"/>
      <w:marRight w:val="0"/>
      <w:marTop w:val="0"/>
      <w:marBottom w:val="0"/>
      <w:divBdr>
        <w:top w:val="none" w:sz="0" w:space="0" w:color="auto"/>
        <w:left w:val="none" w:sz="0" w:space="0" w:color="auto"/>
        <w:bottom w:val="none" w:sz="0" w:space="0" w:color="auto"/>
        <w:right w:val="none" w:sz="0" w:space="0" w:color="auto"/>
      </w:divBdr>
    </w:div>
    <w:div w:id="1521167947">
      <w:bodyDiv w:val="1"/>
      <w:marLeft w:val="0"/>
      <w:marRight w:val="0"/>
      <w:marTop w:val="0"/>
      <w:marBottom w:val="0"/>
      <w:divBdr>
        <w:top w:val="none" w:sz="0" w:space="0" w:color="auto"/>
        <w:left w:val="none" w:sz="0" w:space="0" w:color="auto"/>
        <w:bottom w:val="none" w:sz="0" w:space="0" w:color="auto"/>
        <w:right w:val="none" w:sz="0" w:space="0" w:color="auto"/>
      </w:divBdr>
    </w:div>
    <w:div w:id="1650595503">
      <w:bodyDiv w:val="1"/>
      <w:marLeft w:val="0"/>
      <w:marRight w:val="0"/>
      <w:marTop w:val="0"/>
      <w:marBottom w:val="0"/>
      <w:divBdr>
        <w:top w:val="none" w:sz="0" w:space="0" w:color="auto"/>
        <w:left w:val="none" w:sz="0" w:space="0" w:color="auto"/>
        <w:bottom w:val="none" w:sz="0" w:space="0" w:color="auto"/>
        <w:right w:val="none" w:sz="0" w:space="0" w:color="auto"/>
      </w:divBdr>
    </w:div>
    <w:div w:id="1944419330">
      <w:bodyDiv w:val="1"/>
      <w:marLeft w:val="0"/>
      <w:marRight w:val="0"/>
      <w:marTop w:val="0"/>
      <w:marBottom w:val="0"/>
      <w:divBdr>
        <w:top w:val="none" w:sz="0" w:space="0" w:color="auto"/>
        <w:left w:val="none" w:sz="0" w:space="0" w:color="auto"/>
        <w:bottom w:val="none" w:sz="0" w:space="0" w:color="auto"/>
        <w:right w:val="none" w:sz="0" w:space="0" w:color="auto"/>
      </w:divBdr>
    </w:div>
    <w:div w:id="1945767839">
      <w:bodyDiv w:val="1"/>
      <w:marLeft w:val="0"/>
      <w:marRight w:val="0"/>
      <w:marTop w:val="0"/>
      <w:marBottom w:val="0"/>
      <w:divBdr>
        <w:top w:val="none" w:sz="0" w:space="0" w:color="auto"/>
        <w:left w:val="none" w:sz="0" w:space="0" w:color="auto"/>
        <w:bottom w:val="none" w:sz="0" w:space="0" w:color="auto"/>
        <w:right w:val="none" w:sz="0" w:space="0" w:color="auto"/>
      </w:divBdr>
    </w:div>
    <w:div w:id="20935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Cottrell, Lesley</cp:lastModifiedBy>
  <cp:revision>4</cp:revision>
  <dcterms:created xsi:type="dcterms:W3CDTF">2020-10-29T20:58:00Z</dcterms:created>
  <dcterms:modified xsi:type="dcterms:W3CDTF">2020-11-02T22:00:00Z</dcterms:modified>
</cp:coreProperties>
</file>