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EA3F1" w14:textId="063DCF00" w:rsidR="00065F88" w:rsidRDefault="00115115">
      <w:pPr>
        <w:rPr>
          <w:b/>
          <w:bCs/>
          <w:color w:val="0053A6"/>
          <w:sz w:val="48"/>
          <w:szCs w:val="48"/>
        </w:rPr>
      </w:pPr>
      <w:r w:rsidRPr="00115115">
        <w:rPr>
          <w:b/>
          <w:bCs/>
          <w:color w:val="0053A6"/>
          <w:sz w:val="48"/>
          <w:szCs w:val="48"/>
        </w:rPr>
        <w:t>What are the needs of West Virginians with Co-existing Intellectual Developmental Disabilities and Mental Illness?</w:t>
      </w:r>
    </w:p>
    <w:p w14:paraId="0C3AD672" w14:textId="04260098" w:rsidR="00115115" w:rsidRDefault="00115115">
      <w:pPr>
        <w:rPr>
          <w:color w:val="002C5B"/>
          <w:sz w:val="28"/>
          <w:szCs w:val="28"/>
        </w:rPr>
      </w:pPr>
      <w:r w:rsidRPr="00115115">
        <w:rPr>
          <w:color w:val="002C5B"/>
          <w:sz w:val="28"/>
          <w:szCs w:val="28"/>
        </w:rPr>
        <w:t xml:space="preserve">Presented by: Anastasia Riley, MBA CBIS, Gloria </w:t>
      </w:r>
      <w:proofErr w:type="spellStart"/>
      <w:r w:rsidRPr="00115115">
        <w:rPr>
          <w:color w:val="002C5B"/>
          <w:sz w:val="28"/>
          <w:szCs w:val="28"/>
        </w:rPr>
        <w:t>Maha</w:t>
      </w:r>
      <w:proofErr w:type="spellEnd"/>
      <w:r w:rsidRPr="00115115">
        <w:rPr>
          <w:color w:val="002C5B"/>
          <w:sz w:val="28"/>
          <w:szCs w:val="28"/>
        </w:rPr>
        <w:t xml:space="preserve">, MSW, </w:t>
      </w:r>
      <w:proofErr w:type="spellStart"/>
      <w:r w:rsidRPr="00115115">
        <w:rPr>
          <w:color w:val="002C5B"/>
          <w:sz w:val="28"/>
          <w:szCs w:val="28"/>
        </w:rPr>
        <w:t>Lashanna</w:t>
      </w:r>
      <w:proofErr w:type="spellEnd"/>
      <w:r w:rsidRPr="00115115">
        <w:rPr>
          <w:color w:val="002C5B"/>
          <w:sz w:val="28"/>
          <w:szCs w:val="28"/>
        </w:rPr>
        <w:t xml:space="preserve"> Brunson, MS BCBA, Valerie Frey-McClung, M.A., Dr. Lesley Cottrell, Ph.D., Dr. Lucas Moore, M.S. Ed.D.</w:t>
      </w:r>
    </w:p>
    <w:p w14:paraId="40F18556" w14:textId="0C94FDFA" w:rsidR="00115115" w:rsidRDefault="00115115">
      <w:pPr>
        <w:rPr>
          <w:color w:val="002C5B"/>
          <w:sz w:val="28"/>
          <w:szCs w:val="28"/>
        </w:rPr>
      </w:pPr>
    </w:p>
    <w:p w14:paraId="12BA6083" w14:textId="77777777" w:rsidR="00115115" w:rsidRDefault="00115115" w:rsidP="00115115">
      <w:pPr>
        <w:pStyle w:val="Default"/>
      </w:pPr>
    </w:p>
    <w:p w14:paraId="3ED895A9" w14:textId="77777777" w:rsidR="00115115" w:rsidRDefault="00115115" w:rsidP="00115115">
      <w:pPr>
        <w:rPr>
          <w:b/>
          <w:bCs/>
          <w:color w:val="0053A6"/>
          <w:sz w:val="48"/>
          <w:szCs w:val="48"/>
        </w:rPr>
      </w:pPr>
      <w:r w:rsidRPr="00115115">
        <w:rPr>
          <w:sz w:val="48"/>
          <w:szCs w:val="48"/>
        </w:rPr>
        <w:t xml:space="preserve"> </w:t>
      </w:r>
      <w:r w:rsidRPr="00115115">
        <w:rPr>
          <w:b/>
          <w:bCs/>
          <w:color w:val="0053A6"/>
          <w:sz w:val="48"/>
          <w:szCs w:val="48"/>
        </w:rPr>
        <w:t>Background</w:t>
      </w:r>
    </w:p>
    <w:p w14:paraId="0D50F2B8" w14:textId="58F53B37" w:rsidR="00115115" w:rsidRPr="00115115" w:rsidRDefault="00115115" w:rsidP="00115115">
      <w:pPr>
        <w:pStyle w:val="ListParagraph"/>
        <w:numPr>
          <w:ilvl w:val="0"/>
          <w:numId w:val="1"/>
        </w:numPr>
        <w:rPr>
          <w:color w:val="211D1E"/>
          <w:sz w:val="36"/>
          <w:szCs w:val="36"/>
        </w:rPr>
      </w:pPr>
      <w:r w:rsidRPr="00115115">
        <w:rPr>
          <w:color w:val="211D1E"/>
          <w:sz w:val="36"/>
          <w:szCs w:val="36"/>
        </w:rPr>
        <w:t>The purpose of this study is to assess the needs and potential service gaps of people who have a co-existing developmental disability and mental illness by surveying providers who work with these populations.</w:t>
      </w:r>
    </w:p>
    <w:p w14:paraId="4AE0091B" w14:textId="61CBF1BA" w:rsidR="00115115" w:rsidRPr="00115115" w:rsidRDefault="00115115" w:rsidP="00115115">
      <w:pPr>
        <w:pStyle w:val="ListParagraph"/>
        <w:numPr>
          <w:ilvl w:val="0"/>
          <w:numId w:val="1"/>
        </w:numPr>
        <w:rPr>
          <w:sz w:val="36"/>
          <w:szCs w:val="36"/>
        </w:rPr>
      </w:pPr>
      <w:r w:rsidRPr="00115115">
        <w:rPr>
          <w:color w:val="211D1E"/>
          <w:sz w:val="36"/>
          <w:szCs w:val="36"/>
        </w:rPr>
        <w:t>Do people with IDD receive adequate mental health services and how can those services be improved?</w:t>
      </w:r>
    </w:p>
    <w:p w14:paraId="68056414" w14:textId="423275AA" w:rsidR="00115115" w:rsidRDefault="00115115" w:rsidP="00115115">
      <w:pPr>
        <w:rPr>
          <w:sz w:val="36"/>
          <w:szCs w:val="36"/>
        </w:rPr>
      </w:pPr>
    </w:p>
    <w:p w14:paraId="09688557" w14:textId="77777777" w:rsidR="00115115" w:rsidRDefault="00115115" w:rsidP="00115115">
      <w:pPr>
        <w:pStyle w:val="Default"/>
      </w:pPr>
    </w:p>
    <w:p w14:paraId="4C84E35F" w14:textId="77777777" w:rsidR="00115115" w:rsidRDefault="00115115" w:rsidP="00115115">
      <w:pPr>
        <w:rPr>
          <w:b/>
          <w:bCs/>
          <w:color w:val="0053A6"/>
          <w:sz w:val="48"/>
          <w:szCs w:val="48"/>
        </w:rPr>
      </w:pPr>
      <w:r>
        <w:t xml:space="preserve"> </w:t>
      </w:r>
      <w:r w:rsidRPr="00115115">
        <w:rPr>
          <w:b/>
          <w:bCs/>
          <w:color w:val="0053A6"/>
          <w:sz w:val="48"/>
          <w:szCs w:val="48"/>
        </w:rPr>
        <w:t>Objectives</w:t>
      </w:r>
    </w:p>
    <w:p w14:paraId="093623EF" w14:textId="4690AC3A" w:rsidR="00115115" w:rsidRPr="00115115" w:rsidRDefault="00115115" w:rsidP="00115115">
      <w:pPr>
        <w:pStyle w:val="ListParagraph"/>
        <w:numPr>
          <w:ilvl w:val="0"/>
          <w:numId w:val="2"/>
        </w:numPr>
        <w:rPr>
          <w:color w:val="211D1E"/>
          <w:sz w:val="36"/>
          <w:szCs w:val="36"/>
        </w:rPr>
      </w:pPr>
      <w:r w:rsidRPr="00115115">
        <w:rPr>
          <w:color w:val="211D1E"/>
          <w:sz w:val="36"/>
          <w:szCs w:val="36"/>
        </w:rPr>
        <w:t>Recognize barriers to services for people with co-existing IDD and mental illness.</w:t>
      </w:r>
    </w:p>
    <w:p w14:paraId="02D925EC" w14:textId="2D03E1FC" w:rsidR="00115115" w:rsidRPr="00115115" w:rsidRDefault="00115115" w:rsidP="00115115">
      <w:pPr>
        <w:pStyle w:val="ListParagraph"/>
        <w:numPr>
          <w:ilvl w:val="0"/>
          <w:numId w:val="2"/>
        </w:numPr>
        <w:rPr>
          <w:color w:val="211D1E"/>
          <w:sz w:val="36"/>
          <w:szCs w:val="36"/>
        </w:rPr>
      </w:pPr>
      <w:r w:rsidRPr="00115115">
        <w:rPr>
          <w:color w:val="211D1E"/>
          <w:sz w:val="36"/>
          <w:szCs w:val="36"/>
        </w:rPr>
        <w:t>Identify levels of need across 26 service domains for people with co-existing conditions.</w:t>
      </w:r>
    </w:p>
    <w:p w14:paraId="24D8D892" w14:textId="4EB3BD65" w:rsidR="00115115" w:rsidRPr="00115115" w:rsidRDefault="00115115" w:rsidP="00115115">
      <w:pPr>
        <w:pStyle w:val="ListParagraph"/>
        <w:numPr>
          <w:ilvl w:val="0"/>
          <w:numId w:val="2"/>
        </w:numPr>
        <w:rPr>
          <w:sz w:val="36"/>
          <w:szCs w:val="36"/>
        </w:rPr>
      </w:pPr>
      <w:r w:rsidRPr="00115115">
        <w:rPr>
          <w:color w:val="211D1E"/>
          <w:sz w:val="36"/>
          <w:szCs w:val="36"/>
        </w:rPr>
        <w:t>Discuss ways to improve the quality and availability of existing services.</w:t>
      </w:r>
    </w:p>
    <w:p w14:paraId="6075A2D5" w14:textId="3E8E8CEA" w:rsidR="00115115" w:rsidRDefault="00115115" w:rsidP="00115115">
      <w:pPr>
        <w:rPr>
          <w:sz w:val="36"/>
          <w:szCs w:val="36"/>
        </w:rPr>
      </w:pPr>
    </w:p>
    <w:p w14:paraId="68E4ED9D" w14:textId="77777777" w:rsidR="00115115" w:rsidRDefault="00115115" w:rsidP="00115115">
      <w:pPr>
        <w:pStyle w:val="Default"/>
      </w:pPr>
    </w:p>
    <w:p w14:paraId="735A8BF9" w14:textId="77777777" w:rsidR="00115115" w:rsidRDefault="00115115" w:rsidP="00115115">
      <w:pPr>
        <w:rPr>
          <w:b/>
          <w:bCs/>
          <w:color w:val="0053A6"/>
          <w:sz w:val="48"/>
          <w:szCs w:val="48"/>
        </w:rPr>
      </w:pPr>
      <w:r w:rsidRPr="00115115">
        <w:rPr>
          <w:b/>
          <w:bCs/>
          <w:color w:val="0053A6"/>
          <w:sz w:val="48"/>
          <w:szCs w:val="48"/>
        </w:rPr>
        <w:t>Methods or Description of the Program</w:t>
      </w:r>
    </w:p>
    <w:p w14:paraId="3026E62B" w14:textId="35C23786" w:rsidR="00115115" w:rsidRPr="00115115" w:rsidRDefault="00115115" w:rsidP="00115115">
      <w:pPr>
        <w:pStyle w:val="ListParagraph"/>
        <w:numPr>
          <w:ilvl w:val="0"/>
          <w:numId w:val="3"/>
        </w:numPr>
        <w:rPr>
          <w:color w:val="211D1E"/>
          <w:sz w:val="36"/>
          <w:szCs w:val="36"/>
        </w:rPr>
      </w:pPr>
      <w:r w:rsidRPr="00115115">
        <w:rPr>
          <w:color w:val="211D1E"/>
          <w:sz w:val="36"/>
          <w:szCs w:val="36"/>
        </w:rPr>
        <w:lastRenderedPageBreak/>
        <w:t>395 WV Professionals in the IDD / MH field were recruited to participate in the study by answering an anonymous Qualtrics survey.</w:t>
      </w:r>
    </w:p>
    <w:p w14:paraId="6EC393BA" w14:textId="7A4147F6" w:rsidR="00115115" w:rsidRPr="00115115" w:rsidRDefault="00115115" w:rsidP="00115115">
      <w:pPr>
        <w:pStyle w:val="ListParagraph"/>
        <w:numPr>
          <w:ilvl w:val="0"/>
          <w:numId w:val="2"/>
        </w:numPr>
        <w:rPr>
          <w:color w:val="211D1E"/>
          <w:sz w:val="36"/>
          <w:szCs w:val="36"/>
        </w:rPr>
      </w:pPr>
      <w:r w:rsidRPr="00115115">
        <w:rPr>
          <w:color w:val="211D1E"/>
          <w:sz w:val="36"/>
          <w:szCs w:val="36"/>
        </w:rPr>
        <w:t>The survey link was distributed through an announcement posted on the CED website, Facebook and email listservs.</w:t>
      </w:r>
    </w:p>
    <w:p w14:paraId="0F3C0DD2" w14:textId="07A05E7C" w:rsidR="00115115" w:rsidRPr="00115115" w:rsidRDefault="00115115" w:rsidP="00115115">
      <w:pPr>
        <w:pStyle w:val="ListParagraph"/>
        <w:numPr>
          <w:ilvl w:val="0"/>
          <w:numId w:val="2"/>
        </w:numPr>
        <w:rPr>
          <w:color w:val="211D1E"/>
          <w:sz w:val="36"/>
          <w:szCs w:val="36"/>
        </w:rPr>
      </w:pPr>
      <w:r w:rsidRPr="00115115">
        <w:rPr>
          <w:color w:val="211D1E"/>
          <w:sz w:val="36"/>
          <w:szCs w:val="36"/>
        </w:rPr>
        <w:t>We assessed service barriers including transportation, access to childcare and knowledge of resources among other factors.</w:t>
      </w:r>
    </w:p>
    <w:p w14:paraId="0A6201D5" w14:textId="1D728862" w:rsidR="00115115" w:rsidRPr="00115115" w:rsidRDefault="00115115" w:rsidP="00115115">
      <w:pPr>
        <w:pStyle w:val="ListParagraph"/>
        <w:numPr>
          <w:ilvl w:val="0"/>
          <w:numId w:val="2"/>
        </w:numPr>
        <w:rPr>
          <w:color w:val="211D1E"/>
          <w:sz w:val="36"/>
          <w:szCs w:val="36"/>
        </w:rPr>
      </w:pPr>
      <w:r w:rsidRPr="00115115">
        <w:rPr>
          <w:color w:val="211D1E"/>
          <w:sz w:val="36"/>
          <w:szCs w:val="36"/>
        </w:rPr>
        <w:t>The respondents were asked about service barriers, using both a closed and open-ended format.</w:t>
      </w:r>
    </w:p>
    <w:p w14:paraId="59D1BA60" w14:textId="29E9F15D" w:rsidR="00115115" w:rsidRPr="00115115" w:rsidRDefault="00115115" w:rsidP="00115115">
      <w:pPr>
        <w:pStyle w:val="ListParagraph"/>
        <w:numPr>
          <w:ilvl w:val="0"/>
          <w:numId w:val="2"/>
        </w:numPr>
        <w:rPr>
          <w:color w:val="211D1E"/>
          <w:sz w:val="36"/>
          <w:szCs w:val="36"/>
        </w:rPr>
      </w:pPr>
      <w:r w:rsidRPr="00115115">
        <w:rPr>
          <w:color w:val="211D1E"/>
          <w:sz w:val="36"/>
          <w:szCs w:val="36"/>
        </w:rPr>
        <w:t>Participants rated the level of need and separately, quality of 26 different service areas for people with co-existing conditions. Participants were also asked about overall opinions of access to mental health services for people with IDD.</w:t>
      </w:r>
    </w:p>
    <w:p w14:paraId="7DC0B22A" w14:textId="190BE4F8" w:rsidR="00115115" w:rsidRPr="00115115" w:rsidRDefault="00115115" w:rsidP="00115115">
      <w:pPr>
        <w:pStyle w:val="ListParagraph"/>
        <w:numPr>
          <w:ilvl w:val="0"/>
          <w:numId w:val="2"/>
        </w:numPr>
        <w:rPr>
          <w:sz w:val="36"/>
          <w:szCs w:val="36"/>
        </w:rPr>
      </w:pPr>
      <w:r w:rsidRPr="00115115">
        <w:rPr>
          <w:color w:val="211D1E"/>
          <w:sz w:val="36"/>
          <w:szCs w:val="36"/>
        </w:rPr>
        <w:t>The only identifiable demographics collected from respondents were what counties they served and if they served children or adults.</w:t>
      </w:r>
    </w:p>
    <w:p w14:paraId="785BC68C" w14:textId="236E9396" w:rsidR="00115115" w:rsidRDefault="00115115" w:rsidP="00115115">
      <w:pPr>
        <w:rPr>
          <w:sz w:val="36"/>
          <w:szCs w:val="36"/>
        </w:rPr>
      </w:pPr>
    </w:p>
    <w:p w14:paraId="6784481C" w14:textId="77777777" w:rsidR="00115115" w:rsidRDefault="00115115" w:rsidP="00115115">
      <w:pPr>
        <w:pStyle w:val="Default"/>
      </w:pPr>
    </w:p>
    <w:p w14:paraId="7BE93EF0" w14:textId="76B7736A" w:rsidR="00115115" w:rsidRDefault="00115115" w:rsidP="00115115">
      <w:pPr>
        <w:rPr>
          <w:rFonts w:ascii="HelveticaNeueLT Std Lt Cn" w:hAnsi="HelveticaNeueLT Std Lt Cn" w:cs="HelveticaNeueLT Std Lt Cn"/>
          <w:color w:val="FFFFFF"/>
          <w:sz w:val="96"/>
          <w:szCs w:val="96"/>
        </w:rPr>
      </w:pPr>
      <w:r>
        <w:t xml:space="preserve"> </w:t>
      </w:r>
      <w:r w:rsidRPr="00115115">
        <w:rPr>
          <w:b/>
          <w:bCs/>
          <w:color w:val="EAAA20"/>
          <w:sz w:val="48"/>
          <w:szCs w:val="48"/>
        </w:rPr>
        <w:t>26 Service Domains</w:t>
      </w:r>
      <w:r>
        <w:rPr>
          <w:b/>
          <w:bCs/>
          <w:color w:val="EAAA20"/>
          <w:sz w:val="120"/>
          <w:szCs w:val="120"/>
        </w:rPr>
        <w:t xml:space="preserve"> </w:t>
      </w:r>
      <w:r>
        <w:rPr>
          <w:rFonts w:ascii="HelveticaNeueLT Std Lt Cn" w:hAnsi="HelveticaNeueLT Std Lt Cn" w:cs="HelveticaNeueLT Std Lt Cn"/>
          <w:color w:val="FFFFFF"/>
          <w:sz w:val="96"/>
          <w:szCs w:val="96"/>
        </w:rPr>
        <w:t xml:space="preserve">• </w:t>
      </w:r>
    </w:p>
    <w:p w14:paraId="7642118B" w14:textId="77777777" w:rsidR="00115115" w:rsidRPr="00115115" w:rsidRDefault="00115115" w:rsidP="00115115">
      <w:pPr>
        <w:pStyle w:val="ListParagraph"/>
        <w:numPr>
          <w:ilvl w:val="0"/>
          <w:numId w:val="4"/>
        </w:numPr>
        <w:contextualSpacing w:val="0"/>
        <w:rPr>
          <w:sz w:val="36"/>
          <w:szCs w:val="36"/>
        </w:rPr>
      </w:pPr>
      <w:r w:rsidRPr="00115115">
        <w:rPr>
          <w:sz w:val="36"/>
          <w:szCs w:val="36"/>
        </w:rPr>
        <w:t>Collaboration between service models / agencies</w:t>
      </w:r>
    </w:p>
    <w:p w14:paraId="5FA7F9E7" w14:textId="77777777" w:rsidR="00115115" w:rsidRPr="00115115" w:rsidRDefault="00115115" w:rsidP="00115115">
      <w:pPr>
        <w:pStyle w:val="ListParagraph"/>
        <w:numPr>
          <w:ilvl w:val="0"/>
          <w:numId w:val="4"/>
        </w:numPr>
        <w:contextualSpacing w:val="0"/>
        <w:rPr>
          <w:sz w:val="36"/>
          <w:szCs w:val="36"/>
        </w:rPr>
      </w:pPr>
      <w:r w:rsidRPr="00115115">
        <w:rPr>
          <w:sz w:val="36"/>
          <w:szCs w:val="36"/>
        </w:rPr>
        <w:t>Community integration services</w:t>
      </w:r>
    </w:p>
    <w:p w14:paraId="4A2B0F39" w14:textId="77777777" w:rsidR="00115115" w:rsidRPr="00115115" w:rsidRDefault="00115115" w:rsidP="00115115">
      <w:pPr>
        <w:pStyle w:val="ListParagraph"/>
        <w:numPr>
          <w:ilvl w:val="0"/>
          <w:numId w:val="4"/>
        </w:numPr>
        <w:contextualSpacing w:val="0"/>
        <w:rPr>
          <w:sz w:val="36"/>
          <w:szCs w:val="36"/>
        </w:rPr>
      </w:pPr>
      <w:r w:rsidRPr="00115115">
        <w:rPr>
          <w:sz w:val="36"/>
          <w:szCs w:val="36"/>
        </w:rPr>
        <w:t>Comprehensive community mental health resources</w:t>
      </w:r>
    </w:p>
    <w:p w14:paraId="70F3E4A8" w14:textId="77777777" w:rsidR="00115115" w:rsidRPr="00115115" w:rsidRDefault="00115115" w:rsidP="00115115">
      <w:pPr>
        <w:pStyle w:val="ListParagraph"/>
        <w:numPr>
          <w:ilvl w:val="0"/>
          <w:numId w:val="4"/>
        </w:numPr>
        <w:contextualSpacing w:val="0"/>
        <w:rPr>
          <w:sz w:val="36"/>
          <w:szCs w:val="36"/>
        </w:rPr>
      </w:pPr>
      <w:r w:rsidRPr="00115115">
        <w:rPr>
          <w:sz w:val="36"/>
          <w:szCs w:val="36"/>
        </w:rPr>
        <w:t>Crisis response services / Crisis respite</w:t>
      </w:r>
    </w:p>
    <w:p w14:paraId="5797F0E6" w14:textId="77777777" w:rsidR="00115115" w:rsidRPr="00115115" w:rsidRDefault="00115115" w:rsidP="00115115">
      <w:pPr>
        <w:pStyle w:val="ListParagraph"/>
        <w:numPr>
          <w:ilvl w:val="0"/>
          <w:numId w:val="4"/>
        </w:numPr>
        <w:contextualSpacing w:val="0"/>
        <w:rPr>
          <w:sz w:val="36"/>
          <w:szCs w:val="36"/>
        </w:rPr>
      </w:pPr>
      <w:r w:rsidRPr="00115115">
        <w:rPr>
          <w:sz w:val="36"/>
          <w:szCs w:val="36"/>
        </w:rPr>
        <w:t>Daily living supports for people with brain injury</w:t>
      </w:r>
    </w:p>
    <w:p w14:paraId="7B0188BC" w14:textId="77777777" w:rsidR="00115115" w:rsidRPr="00115115" w:rsidRDefault="00115115" w:rsidP="00115115">
      <w:pPr>
        <w:pStyle w:val="ListParagraph"/>
        <w:numPr>
          <w:ilvl w:val="0"/>
          <w:numId w:val="4"/>
        </w:numPr>
        <w:contextualSpacing w:val="0"/>
        <w:rPr>
          <w:sz w:val="36"/>
          <w:szCs w:val="36"/>
        </w:rPr>
      </w:pPr>
      <w:r w:rsidRPr="00115115">
        <w:rPr>
          <w:sz w:val="36"/>
          <w:szCs w:val="36"/>
        </w:rPr>
        <w:t>Daily living supports for people with intellectual disabilities</w:t>
      </w:r>
    </w:p>
    <w:p w14:paraId="04E784B1" w14:textId="77777777" w:rsidR="00115115" w:rsidRPr="00115115" w:rsidRDefault="00115115" w:rsidP="00115115">
      <w:pPr>
        <w:pStyle w:val="ListParagraph"/>
        <w:numPr>
          <w:ilvl w:val="0"/>
          <w:numId w:val="4"/>
        </w:numPr>
        <w:contextualSpacing w:val="0"/>
        <w:rPr>
          <w:sz w:val="36"/>
          <w:szCs w:val="36"/>
        </w:rPr>
      </w:pPr>
      <w:r w:rsidRPr="00115115">
        <w:rPr>
          <w:sz w:val="36"/>
          <w:szCs w:val="36"/>
        </w:rPr>
        <w:lastRenderedPageBreak/>
        <w:t>Daily living supports for people with physical disabilities</w:t>
      </w:r>
    </w:p>
    <w:p w14:paraId="40DA3F76" w14:textId="77777777" w:rsidR="00115115" w:rsidRPr="00115115" w:rsidRDefault="00115115" w:rsidP="00115115">
      <w:pPr>
        <w:pStyle w:val="ListParagraph"/>
        <w:numPr>
          <w:ilvl w:val="0"/>
          <w:numId w:val="4"/>
        </w:numPr>
        <w:contextualSpacing w:val="0"/>
        <w:rPr>
          <w:sz w:val="36"/>
          <w:szCs w:val="36"/>
        </w:rPr>
      </w:pPr>
      <w:r w:rsidRPr="00115115">
        <w:rPr>
          <w:sz w:val="36"/>
          <w:szCs w:val="36"/>
        </w:rPr>
        <w:t>Dietary and nutrition services</w:t>
      </w:r>
    </w:p>
    <w:p w14:paraId="0FC15E72" w14:textId="77777777" w:rsidR="00115115" w:rsidRPr="00115115" w:rsidRDefault="00115115" w:rsidP="00115115">
      <w:pPr>
        <w:pStyle w:val="ListParagraph"/>
        <w:numPr>
          <w:ilvl w:val="0"/>
          <w:numId w:val="4"/>
        </w:numPr>
        <w:contextualSpacing w:val="0"/>
        <w:rPr>
          <w:sz w:val="36"/>
          <w:szCs w:val="36"/>
        </w:rPr>
      </w:pPr>
      <w:r w:rsidRPr="00115115">
        <w:rPr>
          <w:sz w:val="36"/>
          <w:szCs w:val="36"/>
        </w:rPr>
        <w:t>Healthcare professionals knowledgeable of developmental disabilities / working with people who are not the “standard patient”</w:t>
      </w:r>
    </w:p>
    <w:p w14:paraId="08510752" w14:textId="77777777" w:rsidR="00115115" w:rsidRPr="00115115" w:rsidRDefault="00115115" w:rsidP="00115115">
      <w:pPr>
        <w:pStyle w:val="ListParagraph"/>
        <w:numPr>
          <w:ilvl w:val="0"/>
          <w:numId w:val="4"/>
        </w:numPr>
        <w:contextualSpacing w:val="0"/>
        <w:rPr>
          <w:sz w:val="36"/>
          <w:szCs w:val="36"/>
        </w:rPr>
      </w:pPr>
      <w:r w:rsidRPr="00115115">
        <w:rPr>
          <w:sz w:val="36"/>
          <w:szCs w:val="36"/>
        </w:rPr>
        <w:t>Holistic healthcare options</w:t>
      </w:r>
    </w:p>
    <w:p w14:paraId="27928857" w14:textId="77777777" w:rsidR="00115115" w:rsidRPr="00115115" w:rsidRDefault="00115115" w:rsidP="00115115">
      <w:pPr>
        <w:pStyle w:val="ListParagraph"/>
        <w:numPr>
          <w:ilvl w:val="0"/>
          <w:numId w:val="4"/>
        </w:numPr>
        <w:contextualSpacing w:val="0"/>
        <w:rPr>
          <w:sz w:val="36"/>
          <w:szCs w:val="36"/>
        </w:rPr>
      </w:pPr>
      <w:r w:rsidRPr="00115115">
        <w:rPr>
          <w:sz w:val="36"/>
          <w:szCs w:val="36"/>
        </w:rPr>
        <w:t>Long term housing assistance</w:t>
      </w:r>
    </w:p>
    <w:p w14:paraId="3B854A3F" w14:textId="77777777" w:rsidR="00115115" w:rsidRPr="00115115" w:rsidRDefault="00115115" w:rsidP="00115115">
      <w:pPr>
        <w:pStyle w:val="ListParagraph"/>
        <w:numPr>
          <w:ilvl w:val="0"/>
          <w:numId w:val="4"/>
        </w:numPr>
        <w:contextualSpacing w:val="0"/>
        <w:rPr>
          <w:sz w:val="36"/>
          <w:szCs w:val="36"/>
        </w:rPr>
      </w:pPr>
      <w:r w:rsidRPr="00115115">
        <w:rPr>
          <w:sz w:val="36"/>
          <w:szCs w:val="36"/>
        </w:rPr>
        <w:t>Intensive outpatient services</w:t>
      </w:r>
    </w:p>
    <w:p w14:paraId="037E2829" w14:textId="77777777" w:rsidR="00115115" w:rsidRPr="00115115" w:rsidRDefault="00115115" w:rsidP="00115115">
      <w:pPr>
        <w:pStyle w:val="ListParagraph"/>
        <w:numPr>
          <w:ilvl w:val="0"/>
          <w:numId w:val="4"/>
        </w:numPr>
        <w:contextualSpacing w:val="0"/>
        <w:rPr>
          <w:sz w:val="36"/>
          <w:szCs w:val="36"/>
        </w:rPr>
      </w:pPr>
      <w:r w:rsidRPr="00115115">
        <w:rPr>
          <w:sz w:val="36"/>
          <w:szCs w:val="36"/>
        </w:rPr>
        <w:t>Legal counsel</w:t>
      </w:r>
    </w:p>
    <w:p w14:paraId="19D75522" w14:textId="77777777" w:rsidR="00115115" w:rsidRPr="00115115" w:rsidRDefault="00115115" w:rsidP="00115115">
      <w:pPr>
        <w:pStyle w:val="ListParagraph"/>
        <w:numPr>
          <w:ilvl w:val="0"/>
          <w:numId w:val="4"/>
        </w:numPr>
        <w:contextualSpacing w:val="0"/>
        <w:rPr>
          <w:sz w:val="36"/>
          <w:szCs w:val="36"/>
        </w:rPr>
      </w:pPr>
      <w:r w:rsidRPr="00115115">
        <w:rPr>
          <w:sz w:val="36"/>
          <w:szCs w:val="36"/>
        </w:rPr>
        <w:t>Life skills resources / education</w:t>
      </w:r>
    </w:p>
    <w:p w14:paraId="74E9C194" w14:textId="77777777" w:rsidR="00115115" w:rsidRPr="00115115" w:rsidRDefault="00115115" w:rsidP="00115115">
      <w:pPr>
        <w:pStyle w:val="ListParagraph"/>
        <w:numPr>
          <w:ilvl w:val="0"/>
          <w:numId w:val="4"/>
        </w:numPr>
        <w:contextualSpacing w:val="0"/>
        <w:rPr>
          <w:sz w:val="36"/>
          <w:szCs w:val="36"/>
        </w:rPr>
      </w:pPr>
      <w:r w:rsidRPr="00115115">
        <w:rPr>
          <w:sz w:val="36"/>
          <w:szCs w:val="36"/>
        </w:rPr>
        <w:t>Mental health treatment groups</w:t>
      </w:r>
    </w:p>
    <w:p w14:paraId="46B44EDD" w14:textId="77777777" w:rsidR="00115115" w:rsidRPr="00115115" w:rsidRDefault="00115115" w:rsidP="00115115">
      <w:pPr>
        <w:pStyle w:val="ListParagraph"/>
        <w:numPr>
          <w:ilvl w:val="0"/>
          <w:numId w:val="4"/>
        </w:numPr>
        <w:contextualSpacing w:val="0"/>
        <w:rPr>
          <w:sz w:val="36"/>
          <w:szCs w:val="36"/>
        </w:rPr>
      </w:pPr>
      <w:r w:rsidRPr="00115115">
        <w:rPr>
          <w:sz w:val="36"/>
          <w:szCs w:val="36"/>
        </w:rPr>
        <w:t>Substance abuse relapse prevention and compassionate treatment</w:t>
      </w:r>
    </w:p>
    <w:p w14:paraId="0E42571E" w14:textId="77777777" w:rsidR="00115115" w:rsidRPr="00115115" w:rsidRDefault="00115115" w:rsidP="00115115">
      <w:pPr>
        <w:pStyle w:val="ListParagraph"/>
        <w:numPr>
          <w:ilvl w:val="0"/>
          <w:numId w:val="4"/>
        </w:numPr>
        <w:contextualSpacing w:val="0"/>
        <w:rPr>
          <w:sz w:val="36"/>
          <w:szCs w:val="36"/>
        </w:rPr>
      </w:pPr>
      <w:r w:rsidRPr="00115115">
        <w:rPr>
          <w:sz w:val="36"/>
          <w:szCs w:val="36"/>
        </w:rPr>
        <w:t>Music / Art / Recreational opportunities</w:t>
      </w:r>
    </w:p>
    <w:p w14:paraId="2214E3C8" w14:textId="77777777" w:rsidR="00115115" w:rsidRPr="00115115" w:rsidRDefault="00115115" w:rsidP="00115115">
      <w:pPr>
        <w:pStyle w:val="ListParagraph"/>
        <w:numPr>
          <w:ilvl w:val="0"/>
          <w:numId w:val="4"/>
        </w:numPr>
        <w:contextualSpacing w:val="0"/>
        <w:rPr>
          <w:sz w:val="36"/>
          <w:szCs w:val="36"/>
        </w:rPr>
      </w:pPr>
      <w:r w:rsidRPr="00115115">
        <w:rPr>
          <w:sz w:val="36"/>
          <w:szCs w:val="36"/>
        </w:rPr>
        <w:t>Peer support groups</w:t>
      </w:r>
    </w:p>
    <w:p w14:paraId="167326E2" w14:textId="77777777" w:rsidR="00115115" w:rsidRPr="00115115" w:rsidRDefault="00115115" w:rsidP="00115115">
      <w:pPr>
        <w:pStyle w:val="ListParagraph"/>
        <w:numPr>
          <w:ilvl w:val="0"/>
          <w:numId w:val="4"/>
        </w:numPr>
        <w:contextualSpacing w:val="0"/>
        <w:rPr>
          <w:sz w:val="36"/>
          <w:szCs w:val="36"/>
        </w:rPr>
      </w:pPr>
      <w:r w:rsidRPr="00115115">
        <w:rPr>
          <w:sz w:val="36"/>
          <w:szCs w:val="36"/>
        </w:rPr>
        <w:t>Positive behavior support services</w:t>
      </w:r>
    </w:p>
    <w:p w14:paraId="5AA75A8E" w14:textId="77777777" w:rsidR="00115115" w:rsidRPr="00115115" w:rsidRDefault="00115115" w:rsidP="00115115">
      <w:pPr>
        <w:pStyle w:val="ListParagraph"/>
        <w:numPr>
          <w:ilvl w:val="0"/>
          <w:numId w:val="4"/>
        </w:numPr>
        <w:contextualSpacing w:val="0"/>
        <w:rPr>
          <w:sz w:val="36"/>
          <w:szCs w:val="36"/>
        </w:rPr>
      </w:pPr>
      <w:r w:rsidRPr="00115115">
        <w:rPr>
          <w:sz w:val="36"/>
          <w:szCs w:val="36"/>
        </w:rPr>
        <w:t>Rehabilitation and employment opportunities</w:t>
      </w:r>
    </w:p>
    <w:p w14:paraId="6149EB1A" w14:textId="77777777" w:rsidR="00115115" w:rsidRPr="00115115" w:rsidRDefault="00115115" w:rsidP="00115115">
      <w:pPr>
        <w:pStyle w:val="ListParagraph"/>
        <w:numPr>
          <w:ilvl w:val="0"/>
          <w:numId w:val="4"/>
        </w:numPr>
        <w:contextualSpacing w:val="0"/>
        <w:rPr>
          <w:sz w:val="36"/>
          <w:szCs w:val="36"/>
        </w:rPr>
      </w:pPr>
      <w:r w:rsidRPr="00115115">
        <w:rPr>
          <w:sz w:val="36"/>
          <w:szCs w:val="36"/>
        </w:rPr>
        <w:t>Specialized residential facilities</w:t>
      </w:r>
    </w:p>
    <w:p w14:paraId="6BCD2566" w14:textId="77777777" w:rsidR="00115115" w:rsidRPr="00115115" w:rsidRDefault="00115115" w:rsidP="00115115">
      <w:pPr>
        <w:pStyle w:val="ListParagraph"/>
        <w:numPr>
          <w:ilvl w:val="0"/>
          <w:numId w:val="4"/>
        </w:numPr>
        <w:contextualSpacing w:val="0"/>
        <w:rPr>
          <w:sz w:val="36"/>
          <w:szCs w:val="36"/>
        </w:rPr>
      </w:pPr>
      <w:r w:rsidRPr="00115115">
        <w:rPr>
          <w:sz w:val="36"/>
          <w:szCs w:val="36"/>
        </w:rPr>
        <w:t>Therapist / Mental health providers for people who have limited communication</w:t>
      </w:r>
    </w:p>
    <w:p w14:paraId="3820BBE8" w14:textId="77777777" w:rsidR="00115115" w:rsidRPr="00115115" w:rsidRDefault="00115115" w:rsidP="00115115">
      <w:pPr>
        <w:pStyle w:val="ListParagraph"/>
        <w:numPr>
          <w:ilvl w:val="0"/>
          <w:numId w:val="4"/>
        </w:numPr>
        <w:contextualSpacing w:val="0"/>
        <w:rPr>
          <w:sz w:val="36"/>
          <w:szCs w:val="36"/>
        </w:rPr>
      </w:pPr>
      <w:r w:rsidRPr="00115115">
        <w:rPr>
          <w:sz w:val="36"/>
          <w:szCs w:val="36"/>
        </w:rPr>
        <w:t>Transitional living services</w:t>
      </w:r>
    </w:p>
    <w:p w14:paraId="5AD584E0" w14:textId="77777777" w:rsidR="00115115" w:rsidRPr="00115115" w:rsidRDefault="00115115" w:rsidP="00115115">
      <w:pPr>
        <w:pStyle w:val="ListParagraph"/>
        <w:numPr>
          <w:ilvl w:val="0"/>
          <w:numId w:val="4"/>
        </w:numPr>
        <w:contextualSpacing w:val="0"/>
        <w:rPr>
          <w:sz w:val="36"/>
          <w:szCs w:val="36"/>
        </w:rPr>
      </w:pPr>
      <w:r w:rsidRPr="00115115">
        <w:rPr>
          <w:sz w:val="36"/>
          <w:szCs w:val="36"/>
        </w:rPr>
        <w:t>Transportation</w:t>
      </w:r>
    </w:p>
    <w:p w14:paraId="4C577E29" w14:textId="77777777" w:rsidR="00115115" w:rsidRPr="00115115" w:rsidRDefault="00115115" w:rsidP="00115115">
      <w:pPr>
        <w:pStyle w:val="ListParagraph"/>
        <w:numPr>
          <w:ilvl w:val="0"/>
          <w:numId w:val="4"/>
        </w:numPr>
        <w:contextualSpacing w:val="0"/>
        <w:rPr>
          <w:sz w:val="36"/>
          <w:szCs w:val="36"/>
        </w:rPr>
      </w:pPr>
      <w:r w:rsidRPr="00115115">
        <w:rPr>
          <w:sz w:val="36"/>
          <w:szCs w:val="36"/>
        </w:rPr>
        <w:t>Trauma Informed care throughout systems</w:t>
      </w:r>
    </w:p>
    <w:p w14:paraId="538FBD3D" w14:textId="76D39EFE" w:rsidR="00115115" w:rsidRDefault="00115115" w:rsidP="00115115">
      <w:pPr>
        <w:pStyle w:val="ListParagraph"/>
        <w:numPr>
          <w:ilvl w:val="0"/>
          <w:numId w:val="4"/>
        </w:numPr>
        <w:contextualSpacing w:val="0"/>
        <w:rPr>
          <w:sz w:val="36"/>
          <w:szCs w:val="36"/>
        </w:rPr>
      </w:pPr>
      <w:r w:rsidRPr="00115115">
        <w:rPr>
          <w:sz w:val="36"/>
          <w:szCs w:val="36"/>
        </w:rPr>
        <w:t>Wraparound / Safe at home</w:t>
      </w:r>
    </w:p>
    <w:p w14:paraId="2F876F49" w14:textId="4CE98EB8" w:rsidR="00115115" w:rsidRDefault="00115115" w:rsidP="00115115">
      <w:pPr>
        <w:rPr>
          <w:sz w:val="36"/>
          <w:szCs w:val="36"/>
        </w:rPr>
      </w:pPr>
    </w:p>
    <w:p w14:paraId="41C23905" w14:textId="77777777" w:rsidR="00115115" w:rsidRDefault="00115115" w:rsidP="00115115">
      <w:pPr>
        <w:pStyle w:val="Default"/>
      </w:pPr>
    </w:p>
    <w:p w14:paraId="3715018F" w14:textId="7EEAA583" w:rsidR="00115115" w:rsidRDefault="00115115" w:rsidP="00115115">
      <w:pPr>
        <w:rPr>
          <w:rStyle w:val="A0"/>
          <w:sz w:val="48"/>
          <w:szCs w:val="48"/>
        </w:rPr>
      </w:pPr>
      <w:r>
        <w:t xml:space="preserve"> </w:t>
      </w:r>
      <w:r w:rsidRPr="00115115">
        <w:rPr>
          <w:rStyle w:val="A0"/>
          <w:sz w:val="48"/>
          <w:szCs w:val="48"/>
        </w:rPr>
        <w:t>Findings/Results</w:t>
      </w:r>
    </w:p>
    <w:p w14:paraId="28B6620C" w14:textId="77777777" w:rsidR="009D19EC" w:rsidRDefault="009D19EC" w:rsidP="009D19EC">
      <w:pPr>
        <w:pStyle w:val="Default"/>
      </w:pPr>
    </w:p>
    <w:p w14:paraId="77DC2A8B" w14:textId="77777777" w:rsidR="009D19EC" w:rsidRDefault="009D19EC" w:rsidP="009D19EC">
      <w:pPr>
        <w:pStyle w:val="Default"/>
      </w:pPr>
      <w:r>
        <w:t xml:space="preserve"> </w:t>
      </w:r>
    </w:p>
    <w:p w14:paraId="5458FB93" w14:textId="77777777" w:rsidR="009D19EC" w:rsidRDefault="009D19EC" w:rsidP="009D19EC">
      <w:pPr>
        <w:pStyle w:val="Default"/>
        <w:pageBreakBefore/>
      </w:pPr>
    </w:p>
    <w:p w14:paraId="74B81196" w14:textId="77777777" w:rsidR="009D19EC" w:rsidRPr="009D19EC" w:rsidRDefault="009D19EC" w:rsidP="009D19EC">
      <w:pPr>
        <w:pStyle w:val="Default"/>
        <w:numPr>
          <w:ilvl w:val="0"/>
          <w:numId w:val="5"/>
        </w:numPr>
        <w:rPr>
          <w:color w:val="211D1E"/>
          <w:sz w:val="36"/>
          <w:szCs w:val="36"/>
        </w:rPr>
      </w:pPr>
      <w:r w:rsidRPr="009D19EC">
        <w:rPr>
          <w:rStyle w:val="A8"/>
          <w:sz w:val="36"/>
          <w:szCs w:val="36"/>
        </w:rPr>
        <w:t xml:space="preserve">Of the respondents 41.2% served adults in WV, 14.29% served children and 44.52% served both adults and children. </w:t>
      </w:r>
    </w:p>
    <w:p w14:paraId="5487A9DE" w14:textId="3A1623E3" w:rsidR="009D19EC" w:rsidRPr="009D19EC" w:rsidRDefault="009D19EC" w:rsidP="009D19EC">
      <w:pPr>
        <w:pStyle w:val="Default"/>
        <w:numPr>
          <w:ilvl w:val="0"/>
          <w:numId w:val="5"/>
        </w:numPr>
        <w:rPr>
          <w:color w:val="211D1E"/>
          <w:sz w:val="36"/>
          <w:szCs w:val="36"/>
        </w:rPr>
      </w:pPr>
      <w:r w:rsidRPr="009D19EC">
        <w:rPr>
          <w:rStyle w:val="A8"/>
          <w:sz w:val="36"/>
          <w:szCs w:val="36"/>
        </w:rPr>
        <w:t xml:space="preserve">The vast majority of respondents (73%) felt people with IDD received lower/less quality mental health services. Data indicates almost all (98%), respondents felt services were either adequate, fair or poor for people with co-existing conditions in WV. </w:t>
      </w:r>
    </w:p>
    <w:p w14:paraId="738C8595" w14:textId="7E6B9227" w:rsidR="009D19EC" w:rsidRPr="009D19EC" w:rsidRDefault="009D19EC" w:rsidP="009D19EC">
      <w:pPr>
        <w:pStyle w:val="Default"/>
        <w:numPr>
          <w:ilvl w:val="0"/>
          <w:numId w:val="5"/>
        </w:numPr>
        <w:rPr>
          <w:color w:val="211D1E"/>
          <w:sz w:val="36"/>
          <w:szCs w:val="36"/>
        </w:rPr>
      </w:pPr>
      <w:r w:rsidRPr="009D19EC">
        <w:rPr>
          <w:rStyle w:val="A8"/>
          <w:sz w:val="36"/>
          <w:szCs w:val="36"/>
        </w:rPr>
        <w:t>As evidenced by the chart below, the top two identified barriers to services were lack of in state resources and limited knowledge of existing resources. These are further compounded by other barriers identified such as lack of agency service collaboration and long waitlists.</w:t>
      </w:r>
    </w:p>
    <w:p w14:paraId="07B0EDB0" w14:textId="77777777" w:rsidR="009D19EC" w:rsidRDefault="009D19EC" w:rsidP="009D19EC">
      <w:pPr>
        <w:pStyle w:val="ListParagraph"/>
        <w:numPr>
          <w:ilvl w:val="0"/>
          <w:numId w:val="5"/>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The quality and availability of the 26 service domains were assessed. The services rated as highest included: daily living supports for people with intellectual disabilities; positive behavior support services; and, dietary and nutritional services.</w:t>
      </w:r>
    </w:p>
    <w:p w14:paraId="4C5BBEE7" w14:textId="5134FC52" w:rsidR="00115115" w:rsidRDefault="009D19EC" w:rsidP="00115115">
      <w:pPr>
        <w:pStyle w:val="ListParagraph"/>
        <w:numPr>
          <w:ilvl w:val="0"/>
          <w:numId w:val="5"/>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The level of need reported was high for all services. The highest level of need was in regards to health care professionals understanding developmental disabilities and the ability to provide services to people with limited verbal communication skills, in addition to the need for crisis response services.</w:t>
      </w:r>
    </w:p>
    <w:p w14:paraId="78C0A4C3" w14:textId="5FDBFFF0" w:rsidR="009D19EC" w:rsidRDefault="009D19EC" w:rsidP="009D19EC">
      <w:pPr>
        <w:autoSpaceDE w:val="0"/>
        <w:autoSpaceDN w:val="0"/>
        <w:adjustRightInd w:val="0"/>
        <w:rPr>
          <w:rFonts w:ascii="Arial" w:hAnsi="Arial" w:cs="Arial"/>
          <w:color w:val="211D1E"/>
          <w:sz w:val="36"/>
          <w:szCs w:val="36"/>
        </w:rPr>
      </w:pPr>
    </w:p>
    <w:p w14:paraId="25B78A48" w14:textId="77777777" w:rsidR="009D19EC" w:rsidRPr="009D19EC" w:rsidRDefault="009D19EC" w:rsidP="009D19EC">
      <w:pPr>
        <w:autoSpaceDE w:val="0"/>
        <w:autoSpaceDN w:val="0"/>
        <w:adjustRightInd w:val="0"/>
        <w:rPr>
          <w:rFonts w:ascii="Arial" w:hAnsi="Arial" w:cs="Arial"/>
          <w:color w:val="000000"/>
        </w:rPr>
      </w:pPr>
    </w:p>
    <w:p w14:paraId="15F695AC" w14:textId="03B19619" w:rsidR="009D19EC" w:rsidRDefault="009D19EC" w:rsidP="009D19EC">
      <w:pPr>
        <w:autoSpaceDE w:val="0"/>
        <w:autoSpaceDN w:val="0"/>
        <w:adjustRightInd w:val="0"/>
        <w:rPr>
          <w:rFonts w:ascii="Arial" w:hAnsi="Arial" w:cs="Arial"/>
          <w:b/>
          <w:bCs/>
          <w:color w:val="0053A6"/>
          <w:sz w:val="48"/>
          <w:szCs w:val="48"/>
        </w:rPr>
      </w:pPr>
      <w:r w:rsidRPr="009D19EC">
        <w:rPr>
          <w:rFonts w:ascii="Arial" w:hAnsi="Arial" w:cs="Arial"/>
          <w:sz w:val="48"/>
          <w:szCs w:val="48"/>
        </w:rPr>
        <w:t xml:space="preserve"> </w:t>
      </w:r>
      <w:r w:rsidRPr="009D19EC">
        <w:rPr>
          <w:rFonts w:ascii="Arial" w:hAnsi="Arial" w:cs="Arial"/>
          <w:b/>
          <w:bCs/>
          <w:color w:val="0053A6"/>
          <w:sz w:val="48"/>
          <w:szCs w:val="48"/>
        </w:rPr>
        <w:t>Conclusions</w:t>
      </w:r>
    </w:p>
    <w:p w14:paraId="7707C808" w14:textId="77777777" w:rsidR="009D19EC" w:rsidRPr="009D19EC" w:rsidRDefault="009D19EC" w:rsidP="009D19EC">
      <w:pPr>
        <w:autoSpaceDE w:val="0"/>
        <w:autoSpaceDN w:val="0"/>
        <w:adjustRightInd w:val="0"/>
        <w:rPr>
          <w:rFonts w:ascii="Arial" w:hAnsi="Arial" w:cs="Arial"/>
          <w:color w:val="000000"/>
        </w:rPr>
      </w:pPr>
    </w:p>
    <w:p w14:paraId="0091C802" w14:textId="77777777" w:rsidR="009D19EC" w:rsidRPr="009D19EC" w:rsidRDefault="009D19EC" w:rsidP="009D19EC">
      <w:pPr>
        <w:autoSpaceDE w:val="0"/>
        <w:autoSpaceDN w:val="0"/>
        <w:adjustRightInd w:val="0"/>
        <w:rPr>
          <w:rFonts w:ascii="Arial" w:hAnsi="Arial" w:cs="Arial"/>
          <w:color w:val="000000"/>
        </w:rPr>
      </w:pPr>
      <w:r w:rsidRPr="009D19EC">
        <w:rPr>
          <w:rFonts w:ascii="Arial" w:hAnsi="Arial" w:cs="Arial"/>
          <w:color w:val="000000"/>
        </w:rPr>
        <w:t xml:space="preserve"> </w:t>
      </w:r>
    </w:p>
    <w:p w14:paraId="73B293D2" w14:textId="77777777" w:rsidR="009D19EC" w:rsidRPr="009D19EC" w:rsidRDefault="009D19EC" w:rsidP="009D19EC">
      <w:pPr>
        <w:pageBreakBefore/>
        <w:autoSpaceDE w:val="0"/>
        <w:autoSpaceDN w:val="0"/>
        <w:adjustRightInd w:val="0"/>
        <w:rPr>
          <w:rFonts w:ascii="Arial" w:hAnsi="Arial" w:cs="Arial"/>
          <w:color w:val="000000"/>
        </w:rPr>
      </w:pPr>
    </w:p>
    <w:p w14:paraId="24DDC7BE" w14:textId="77777777" w:rsidR="009D19EC" w:rsidRPr="009D19EC" w:rsidRDefault="009D19EC" w:rsidP="009D19EC">
      <w:pPr>
        <w:pStyle w:val="ListParagraph"/>
        <w:numPr>
          <w:ilvl w:val="0"/>
          <w:numId w:val="7"/>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 xml:space="preserve">People with IDD have not received the same amount of mental health services however people with IDD often face many traumas and vulnerabilities that create more potential for mental illness1. </w:t>
      </w:r>
    </w:p>
    <w:p w14:paraId="6B448AFA" w14:textId="21DC9B1D" w:rsidR="009D19EC" w:rsidRPr="009D19EC" w:rsidRDefault="009D19EC" w:rsidP="009D19EC">
      <w:pPr>
        <w:pStyle w:val="ListParagraph"/>
        <w:numPr>
          <w:ilvl w:val="0"/>
          <w:numId w:val="7"/>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 xml:space="preserve">People with IDD have often faced discrimination in the mental health services2 due to barriers including communication difficulties. We were able to identify these barriers by both a closed answer check as well as an open ended “other” option. The barriers identified suggest that access to services can be improved through systematic adjustments such as increased collaborative resource guides. </w:t>
      </w:r>
    </w:p>
    <w:p w14:paraId="56957FEE" w14:textId="77777777" w:rsidR="009D19EC" w:rsidRDefault="009D19EC" w:rsidP="009D19EC">
      <w:pPr>
        <w:autoSpaceDE w:val="0"/>
        <w:autoSpaceDN w:val="0"/>
        <w:adjustRightInd w:val="0"/>
        <w:rPr>
          <w:rFonts w:ascii="Arial" w:hAnsi="Arial" w:cs="Arial"/>
          <w:color w:val="211D1E"/>
          <w:sz w:val="36"/>
          <w:szCs w:val="36"/>
        </w:rPr>
      </w:pPr>
    </w:p>
    <w:p w14:paraId="3F94998C" w14:textId="27DFFA63" w:rsidR="009D19EC" w:rsidRPr="009D19EC" w:rsidRDefault="009D19EC" w:rsidP="009D19EC">
      <w:pPr>
        <w:autoSpaceDE w:val="0"/>
        <w:autoSpaceDN w:val="0"/>
        <w:adjustRightInd w:val="0"/>
        <w:rPr>
          <w:rFonts w:ascii="Arial" w:hAnsi="Arial" w:cs="Arial"/>
          <w:color w:val="211D1E"/>
          <w:sz w:val="36"/>
          <w:szCs w:val="36"/>
        </w:rPr>
      </w:pPr>
      <w:r w:rsidRPr="009D19EC">
        <w:rPr>
          <w:rFonts w:ascii="Arial" w:hAnsi="Arial" w:cs="Arial"/>
          <w:color w:val="211D1E"/>
          <w:sz w:val="36"/>
          <w:szCs w:val="36"/>
        </w:rPr>
        <w:t xml:space="preserve">The open-ended questions generated some ideas to best serve people with co-existing conditions. Some of these general ideas include: Neuro-psychiatrists working with systems; </w:t>
      </w:r>
    </w:p>
    <w:p w14:paraId="42D36C19" w14:textId="77777777" w:rsidR="009D19EC" w:rsidRPr="009D19EC" w:rsidRDefault="009D19EC" w:rsidP="009D19EC">
      <w:pPr>
        <w:numPr>
          <w:ilvl w:val="1"/>
          <w:numId w:val="7"/>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 xml:space="preserve">Educational, employment, and leadership opportunities for individuals with co-existing conditions; </w:t>
      </w:r>
    </w:p>
    <w:p w14:paraId="43E6C590" w14:textId="77777777" w:rsidR="009D19EC" w:rsidRPr="009D19EC" w:rsidRDefault="009D19EC" w:rsidP="009D19EC">
      <w:pPr>
        <w:numPr>
          <w:ilvl w:val="1"/>
          <w:numId w:val="7"/>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 xml:space="preserve">Higher pay for social workers and direct care staff, leading to better retention; </w:t>
      </w:r>
    </w:p>
    <w:p w14:paraId="0735EDEC" w14:textId="77777777" w:rsidR="009D19EC" w:rsidRPr="009D19EC" w:rsidRDefault="009D19EC" w:rsidP="009D19EC">
      <w:pPr>
        <w:numPr>
          <w:ilvl w:val="1"/>
          <w:numId w:val="7"/>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 xml:space="preserve">Increased access to behavior support services for children; </w:t>
      </w:r>
    </w:p>
    <w:p w14:paraId="3AF52A96" w14:textId="77777777" w:rsidR="009D19EC" w:rsidRPr="009D19EC" w:rsidRDefault="009D19EC" w:rsidP="009D19EC">
      <w:pPr>
        <w:numPr>
          <w:ilvl w:val="1"/>
          <w:numId w:val="7"/>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 xml:space="preserve">Housing assistance for individuals with traumatic brain injury, and; </w:t>
      </w:r>
    </w:p>
    <w:p w14:paraId="6A6F8AA4" w14:textId="77777777" w:rsidR="009D19EC" w:rsidRPr="009D19EC" w:rsidRDefault="009D19EC" w:rsidP="009D19EC">
      <w:pPr>
        <w:numPr>
          <w:ilvl w:val="1"/>
          <w:numId w:val="7"/>
        </w:numPr>
        <w:autoSpaceDE w:val="0"/>
        <w:autoSpaceDN w:val="0"/>
        <w:adjustRightInd w:val="0"/>
        <w:rPr>
          <w:rFonts w:ascii="Arial" w:hAnsi="Arial" w:cs="Arial"/>
          <w:color w:val="211D1E"/>
          <w:sz w:val="36"/>
          <w:szCs w:val="36"/>
        </w:rPr>
      </w:pPr>
      <w:r w:rsidRPr="009D19EC">
        <w:rPr>
          <w:rFonts w:ascii="Arial" w:hAnsi="Arial" w:cs="Arial"/>
          <w:color w:val="211D1E"/>
          <w:sz w:val="36"/>
          <w:szCs w:val="36"/>
        </w:rPr>
        <w:t xml:space="preserve">Communication of service availability to rural communities </w:t>
      </w:r>
    </w:p>
    <w:p w14:paraId="4BDE3659" w14:textId="77777777" w:rsidR="009D19EC" w:rsidRDefault="009D19EC" w:rsidP="009D19EC">
      <w:pPr>
        <w:autoSpaceDE w:val="0"/>
        <w:autoSpaceDN w:val="0"/>
        <w:adjustRightInd w:val="0"/>
        <w:rPr>
          <w:rFonts w:ascii="Arial" w:hAnsi="Arial" w:cs="Arial"/>
          <w:color w:val="211D1E"/>
          <w:sz w:val="36"/>
          <w:szCs w:val="36"/>
        </w:rPr>
      </w:pPr>
    </w:p>
    <w:p w14:paraId="68F0CFAB" w14:textId="26D7DF8E" w:rsidR="009D19EC" w:rsidRDefault="009D19EC" w:rsidP="009D19EC">
      <w:pPr>
        <w:autoSpaceDE w:val="0"/>
        <w:autoSpaceDN w:val="0"/>
        <w:adjustRightInd w:val="0"/>
        <w:rPr>
          <w:rFonts w:ascii="Arial" w:hAnsi="Arial" w:cs="Arial"/>
          <w:color w:val="211D1E"/>
          <w:sz w:val="36"/>
          <w:szCs w:val="36"/>
        </w:rPr>
      </w:pPr>
      <w:r w:rsidRPr="009D19EC">
        <w:rPr>
          <w:rFonts w:ascii="Arial" w:hAnsi="Arial" w:cs="Arial"/>
          <w:color w:val="211D1E"/>
          <w:sz w:val="36"/>
          <w:szCs w:val="36"/>
        </w:rPr>
        <w:lastRenderedPageBreak/>
        <w:t>The information from this research can be used to target service needs to improve systems, overcome identified barriers and advocate for improved mental health services for people with IDD.</w:t>
      </w:r>
    </w:p>
    <w:p w14:paraId="42A821A7" w14:textId="471FE00E" w:rsidR="009D19EC" w:rsidRDefault="009D19EC" w:rsidP="009D19EC">
      <w:pPr>
        <w:autoSpaceDE w:val="0"/>
        <w:autoSpaceDN w:val="0"/>
        <w:adjustRightInd w:val="0"/>
        <w:rPr>
          <w:rFonts w:ascii="Arial" w:hAnsi="Arial" w:cs="Arial"/>
          <w:color w:val="211D1E"/>
          <w:sz w:val="36"/>
          <w:szCs w:val="36"/>
        </w:rPr>
      </w:pPr>
    </w:p>
    <w:p w14:paraId="3922C609" w14:textId="77777777" w:rsidR="009D19EC" w:rsidRPr="009D19EC" w:rsidRDefault="009D19EC" w:rsidP="009D19EC">
      <w:pPr>
        <w:autoSpaceDE w:val="0"/>
        <w:autoSpaceDN w:val="0"/>
        <w:adjustRightInd w:val="0"/>
        <w:rPr>
          <w:rFonts w:ascii="Arial" w:hAnsi="Arial" w:cs="Arial"/>
          <w:color w:val="000000"/>
        </w:rPr>
      </w:pPr>
    </w:p>
    <w:p w14:paraId="375A5B91" w14:textId="112249A0" w:rsidR="009D19EC" w:rsidRPr="009D19EC" w:rsidRDefault="009D19EC" w:rsidP="009D19EC">
      <w:pPr>
        <w:pStyle w:val="Default"/>
        <w:pageBreakBefore/>
        <w:rPr>
          <w:sz w:val="48"/>
          <w:szCs w:val="48"/>
        </w:rPr>
      </w:pPr>
      <w:r w:rsidRPr="009D19EC">
        <w:rPr>
          <w:b/>
          <w:bCs/>
          <w:color w:val="0053A6"/>
          <w:sz w:val="48"/>
          <w:szCs w:val="48"/>
        </w:rPr>
        <w:lastRenderedPageBreak/>
        <w:t>References</w:t>
      </w:r>
      <w:r w:rsidRPr="009D19EC">
        <w:rPr>
          <w:b/>
          <w:bCs/>
          <w:color w:val="0053A6"/>
          <w:sz w:val="48"/>
          <w:szCs w:val="48"/>
        </w:rPr>
        <w:br/>
      </w:r>
    </w:p>
    <w:p w14:paraId="2077A77D" w14:textId="77777777" w:rsidR="009D19EC" w:rsidRPr="009D19EC" w:rsidRDefault="009D19EC" w:rsidP="009D19EC">
      <w:pPr>
        <w:pStyle w:val="Default"/>
        <w:numPr>
          <w:ilvl w:val="0"/>
          <w:numId w:val="9"/>
        </w:numPr>
        <w:spacing w:after="82"/>
        <w:rPr>
          <w:color w:val="211D1E"/>
          <w:sz w:val="36"/>
          <w:szCs w:val="36"/>
        </w:rPr>
      </w:pPr>
      <w:r w:rsidRPr="009D19EC">
        <w:rPr>
          <w:rStyle w:val="A2"/>
          <w:sz w:val="36"/>
          <w:szCs w:val="36"/>
        </w:rPr>
        <w:t xml:space="preserve">1 </w:t>
      </w:r>
      <w:proofErr w:type="spellStart"/>
      <w:r w:rsidRPr="009D19EC">
        <w:rPr>
          <w:rStyle w:val="A3"/>
          <w:sz w:val="36"/>
          <w:szCs w:val="36"/>
        </w:rPr>
        <w:t>Wigham</w:t>
      </w:r>
      <w:proofErr w:type="spellEnd"/>
      <w:r w:rsidRPr="009D19EC">
        <w:rPr>
          <w:rStyle w:val="A3"/>
          <w:sz w:val="36"/>
          <w:szCs w:val="36"/>
        </w:rPr>
        <w:t xml:space="preserve">, S., Emerson, E. Trauma and Life Events in Adults with Intellectual Disability. </w:t>
      </w:r>
      <w:proofErr w:type="spellStart"/>
      <w:r w:rsidRPr="009D19EC">
        <w:rPr>
          <w:rStyle w:val="A3"/>
          <w:i/>
          <w:iCs/>
          <w:sz w:val="36"/>
          <w:szCs w:val="36"/>
        </w:rPr>
        <w:t>Curr</w:t>
      </w:r>
      <w:proofErr w:type="spellEnd"/>
      <w:r w:rsidRPr="009D19EC">
        <w:rPr>
          <w:rStyle w:val="A3"/>
          <w:i/>
          <w:iCs/>
          <w:sz w:val="36"/>
          <w:szCs w:val="36"/>
        </w:rPr>
        <w:t xml:space="preserve"> Dev </w:t>
      </w:r>
      <w:proofErr w:type="spellStart"/>
      <w:r w:rsidRPr="009D19EC">
        <w:rPr>
          <w:rStyle w:val="A3"/>
          <w:i/>
          <w:iCs/>
          <w:sz w:val="36"/>
          <w:szCs w:val="36"/>
        </w:rPr>
        <w:t>Disord</w:t>
      </w:r>
      <w:proofErr w:type="spellEnd"/>
      <w:r w:rsidRPr="009D19EC">
        <w:rPr>
          <w:rStyle w:val="A3"/>
          <w:i/>
          <w:iCs/>
          <w:sz w:val="36"/>
          <w:szCs w:val="36"/>
        </w:rPr>
        <w:t xml:space="preserve"> Rep </w:t>
      </w:r>
      <w:r w:rsidRPr="009D19EC">
        <w:rPr>
          <w:rStyle w:val="A3"/>
          <w:b/>
          <w:bCs/>
          <w:sz w:val="36"/>
          <w:szCs w:val="36"/>
        </w:rPr>
        <w:t xml:space="preserve">2, </w:t>
      </w:r>
      <w:r w:rsidRPr="009D19EC">
        <w:rPr>
          <w:rStyle w:val="A3"/>
          <w:sz w:val="36"/>
          <w:szCs w:val="36"/>
        </w:rPr>
        <w:t xml:space="preserve">93–99 (2015). https://doi.org/10.1007/s40474-015-0041-y </w:t>
      </w:r>
    </w:p>
    <w:p w14:paraId="296129C6" w14:textId="77777777" w:rsidR="009D19EC" w:rsidRPr="009D19EC" w:rsidRDefault="009D19EC" w:rsidP="009D19EC">
      <w:pPr>
        <w:pStyle w:val="Default"/>
        <w:numPr>
          <w:ilvl w:val="0"/>
          <w:numId w:val="9"/>
        </w:numPr>
        <w:rPr>
          <w:color w:val="211D1E"/>
          <w:sz w:val="36"/>
          <w:szCs w:val="36"/>
        </w:rPr>
      </w:pPr>
      <w:r w:rsidRPr="009D19EC">
        <w:rPr>
          <w:rStyle w:val="A2"/>
          <w:sz w:val="36"/>
          <w:szCs w:val="36"/>
        </w:rPr>
        <w:t xml:space="preserve">2 </w:t>
      </w:r>
      <w:r w:rsidRPr="009D19EC">
        <w:rPr>
          <w:rStyle w:val="A3"/>
          <w:sz w:val="36"/>
          <w:szCs w:val="36"/>
        </w:rPr>
        <w:t xml:space="preserve">Ali, A., </w:t>
      </w:r>
      <w:proofErr w:type="spellStart"/>
      <w:r w:rsidRPr="009D19EC">
        <w:rPr>
          <w:rStyle w:val="A3"/>
          <w:sz w:val="36"/>
          <w:szCs w:val="36"/>
        </w:rPr>
        <w:t>Scior</w:t>
      </w:r>
      <w:proofErr w:type="spellEnd"/>
      <w:r w:rsidRPr="009D19EC">
        <w:rPr>
          <w:rStyle w:val="A3"/>
          <w:sz w:val="36"/>
          <w:szCs w:val="36"/>
        </w:rPr>
        <w:t xml:space="preserve">, K., </w:t>
      </w:r>
      <w:proofErr w:type="spellStart"/>
      <w:r w:rsidRPr="009D19EC">
        <w:rPr>
          <w:rStyle w:val="A3"/>
          <w:sz w:val="36"/>
          <w:szCs w:val="36"/>
        </w:rPr>
        <w:t>Ratti</w:t>
      </w:r>
      <w:proofErr w:type="spellEnd"/>
      <w:r w:rsidRPr="009D19EC">
        <w:rPr>
          <w:rStyle w:val="A3"/>
          <w:sz w:val="36"/>
          <w:szCs w:val="36"/>
        </w:rPr>
        <w:t xml:space="preserve">, V., Strydom, A., King, M., &amp; </w:t>
      </w:r>
      <w:proofErr w:type="spellStart"/>
      <w:r w:rsidRPr="009D19EC">
        <w:rPr>
          <w:rStyle w:val="A3"/>
          <w:sz w:val="36"/>
          <w:szCs w:val="36"/>
        </w:rPr>
        <w:t>Hassiotis</w:t>
      </w:r>
      <w:proofErr w:type="spellEnd"/>
      <w:r w:rsidRPr="009D19EC">
        <w:rPr>
          <w:rStyle w:val="A3"/>
          <w:sz w:val="36"/>
          <w:szCs w:val="36"/>
        </w:rPr>
        <w:t xml:space="preserve">, A. (2013). Discrimination and other barriers to accessing health care: perspectives of patients with mild and moderate intellectual disability and their </w:t>
      </w:r>
      <w:proofErr w:type="spellStart"/>
      <w:r w:rsidRPr="009D19EC">
        <w:rPr>
          <w:rStyle w:val="A3"/>
          <w:sz w:val="36"/>
          <w:szCs w:val="36"/>
        </w:rPr>
        <w:t>carers</w:t>
      </w:r>
      <w:proofErr w:type="spellEnd"/>
      <w:r w:rsidRPr="009D19EC">
        <w:rPr>
          <w:rStyle w:val="A3"/>
          <w:sz w:val="36"/>
          <w:szCs w:val="36"/>
        </w:rPr>
        <w:t xml:space="preserve">. </w:t>
      </w:r>
      <w:proofErr w:type="spellStart"/>
      <w:r w:rsidRPr="009D19EC">
        <w:rPr>
          <w:rStyle w:val="A3"/>
          <w:i/>
          <w:iCs/>
          <w:sz w:val="36"/>
          <w:szCs w:val="36"/>
        </w:rPr>
        <w:t>PloS</w:t>
      </w:r>
      <w:proofErr w:type="spellEnd"/>
      <w:r w:rsidRPr="009D19EC">
        <w:rPr>
          <w:rStyle w:val="A3"/>
          <w:i/>
          <w:iCs/>
          <w:sz w:val="36"/>
          <w:szCs w:val="36"/>
        </w:rPr>
        <w:t xml:space="preserve"> one</w:t>
      </w:r>
      <w:r w:rsidRPr="009D19EC">
        <w:rPr>
          <w:rStyle w:val="A3"/>
          <w:sz w:val="36"/>
          <w:szCs w:val="36"/>
        </w:rPr>
        <w:t xml:space="preserve">, </w:t>
      </w:r>
      <w:r w:rsidRPr="009D19EC">
        <w:rPr>
          <w:rStyle w:val="A3"/>
          <w:i/>
          <w:iCs/>
          <w:sz w:val="36"/>
          <w:szCs w:val="36"/>
        </w:rPr>
        <w:t>8</w:t>
      </w:r>
      <w:r w:rsidRPr="009D19EC">
        <w:rPr>
          <w:rStyle w:val="A3"/>
          <w:sz w:val="36"/>
          <w:szCs w:val="36"/>
        </w:rPr>
        <w:t xml:space="preserve">(8), e70855. </w:t>
      </w:r>
      <w:r w:rsidRPr="009D19EC">
        <w:rPr>
          <w:rStyle w:val="A4"/>
          <w:sz w:val="36"/>
          <w:szCs w:val="36"/>
        </w:rPr>
        <w:t>https://doi.org/10.1371/journal.pone.0070855</w:t>
      </w:r>
    </w:p>
    <w:p w14:paraId="2CE35181" w14:textId="0F8C4FB9" w:rsidR="009D19EC" w:rsidRPr="009D19EC" w:rsidRDefault="009D19EC" w:rsidP="009D19EC">
      <w:pPr>
        <w:autoSpaceDE w:val="0"/>
        <w:autoSpaceDN w:val="0"/>
        <w:adjustRightInd w:val="0"/>
        <w:rPr>
          <w:rFonts w:ascii="Arial" w:hAnsi="Arial" w:cs="Arial"/>
          <w:color w:val="211D1E"/>
          <w:sz w:val="36"/>
          <w:szCs w:val="36"/>
        </w:rPr>
      </w:pPr>
    </w:p>
    <w:sectPr w:rsidR="009D19EC" w:rsidRPr="009D19EC" w:rsidSect="002B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NeueLT Std Lt Cn">
    <w:altName w:val="HelveticaNeueLT Std Lt Cn"/>
    <w:panose1 w:val="020B04060202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10D1"/>
    <w:multiLevelType w:val="hybridMultilevel"/>
    <w:tmpl w:val="DA580A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448A"/>
    <w:multiLevelType w:val="hybridMultilevel"/>
    <w:tmpl w:val="6102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A3697"/>
    <w:multiLevelType w:val="hybridMultilevel"/>
    <w:tmpl w:val="DA2C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04CCA"/>
    <w:multiLevelType w:val="hybridMultilevel"/>
    <w:tmpl w:val="8F9E3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A24FF4"/>
    <w:multiLevelType w:val="hybridMultilevel"/>
    <w:tmpl w:val="F25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F42E8"/>
    <w:multiLevelType w:val="hybridMultilevel"/>
    <w:tmpl w:val="403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712B5"/>
    <w:multiLevelType w:val="hybridMultilevel"/>
    <w:tmpl w:val="CEE0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B3AB4"/>
    <w:multiLevelType w:val="hybridMultilevel"/>
    <w:tmpl w:val="9E72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21AB1"/>
    <w:multiLevelType w:val="hybridMultilevel"/>
    <w:tmpl w:val="5F30DF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15"/>
    <w:rsid w:val="00115115"/>
    <w:rsid w:val="002B239D"/>
    <w:rsid w:val="006A0AE3"/>
    <w:rsid w:val="009D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63F9A"/>
  <w15:chartTrackingRefBased/>
  <w15:docId w15:val="{FA35C38D-3F09-144D-A521-CDC206B6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115"/>
    <w:pPr>
      <w:autoSpaceDE w:val="0"/>
      <w:autoSpaceDN w:val="0"/>
      <w:adjustRightInd w:val="0"/>
    </w:pPr>
    <w:rPr>
      <w:rFonts w:ascii="Arial" w:hAnsi="Arial" w:cs="Arial"/>
      <w:color w:val="000000"/>
    </w:rPr>
  </w:style>
  <w:style w:type="paragraph" w:styleId="ListParagraph">
    <w:name w:val="List Paragraph"/>
    <w:basedOn w:val="Normal"/>
    <w:uiPriority w:val="34"/>
    <w:qFormat/>
    <w:rsid w:val="00115115"/>
    <w:pPr>
      <w:ind w:left="720"/>
      <w:contextualSpacing/>
    </w:pPr>
  </w:style>
  <w:style w:type="character" w:customStyle="1" w:styleId="A0">
    <w:name w:val="A0"/>
    <w:uiPriority w:val="99"/>
    <w:rsid w:val="00115115"/>
    <w:rPr>
      <w:b/>
      <w:bCs/>
      <w:color w:val="0053A6"/>
      <w:sz w:val="120"/>
      <w:szCs w:val="120"/>
    </w:rPr>
  </w:style>
  <w:style w:type="character" w:customStyle="1" w:styleId="A8">
    <w:name w:val="A8"/>
    <w:uiPriority w:val="99"/>
    <w:rsid w:val="009D19EC"/>
    <w:rPr>
      <w:color w:val="211D1E"/>
      <w:sz w:val="72"/>
      <w:szCs w:val="72"/>
    </w:rPr>
  </w:style>
  <w:style w:type="character" w:customStyle="1" w:styleId="A7">
    <w:name w:val="A7"/>
    <w:uiPriority w:val="99"/>
    <w:rsid w:val="009D19EC"/>
    <w:rPr>
      <w:color w:val="211D1E"/>
      <w:sz w:val="72"/>
      <w:szCs w:val="72"/>
    </w:rPr>
  </w:style>
  <w:style w:type="character" w:customStyle="1" w:styleId="A9">
    <w:name w:val="A9"/>
    <w:uiPriority w:val="99"/>
    <w:rsid w:val="009D19EC"/>
    <w:rPr>
      <w:color w:val="211D1E"/>
      <w:sz w:val="42"/>
      <w:szCs w:val="42"/>
    </w:rPr>
  </w:style>
  <w:style w:type="character" w:customStyle="1" w:styleId="A2">
    <w:name w:val="A2"/>
    <w:uiPriority w:val="99"/>
    <w:rsid w:val="009D19EC"/>
    <w:rPr>
      <w:color w:val="211D1E"/>
      <w:sz w:val="28"/>
      <w:szCs w:val="28"/>
    </w:rPr>
  </w:style>
  <w:style w:type="character" w:customStyle="1" w:styleId="A3">
    <w:name w:val="A3"/>
    <w:uiPriority w:val="99"/>
    <w:rsid w:val="009D19EC"/>
    <w:rPr>
      <w:color w:val="211D1E"/>
      <w:sz w:val="48"/>
      <w:szCs w:val="48"/>
    </w:rPr>
  </w:style>
  <w:style w:type="character" w:customStyle="1" w:styleId="A4">
    <w:name w:val="A4"/>
    <w:uiPriority w:val="99"/>
    <w:rsid w:val="009D19EC"/>
    <w:rPr>
      <w:color w:val="211D1E"/>
      <w:sz w:val="48"/>
      <w:szCs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2021-02-04T17:00:00Z</dcterms:created>
  <dcterms:modified xsi:type="dcterms:W3CDTF">2021-02-04T17:19:00Z</dcterms:modified>
</cp:coreProperties>
</file>