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04058" w:rsidR="00870590" w:rsidRDefault="00B04058" w14:paraId="753D6675" w14:textId="77777777">
      <w:pPr>
        <w:rPr>
          <w:vertAlign w:val="superscript"/>
        </w:rPr>
      </w:pPr>
      <w:r>
        <w:t>Title: Achieving Health Care Equity: identifying our Resources, Challenges, and Next Steps</w:t>
      </w:r>
    </w:p>
    <w:p w:rsidR="00B04058" w:rsidRDefault="00B04058" w14:paraId="4F909090" w14:textId="77777777">
      <w:r>
        <w:t xml:space="preserve">Authors: </w:t>
      </w:r>
    </w:p>
    <w:p w:rsidR="00B04058" w:rsidRDefault="00B04058" w14:paraId="7806BA1A" w14:textId="77777777">
      <w:r>
        <w:t>Lesley Cottrell PhD</w:t>
      </w:r>
      <w:r w:rsidRPr="00B04058">
        <w:rPr>
          <w:vertAlign w:val="superscript"/>
        </w:rPr>
        <w:t>1</w:t>
      </w:r>
      <w:r>
        <w:t>, Kathy Sheppard-Jones PhD</w:t>
      </w:r>
      <w:r>
        <w:rPr>
          <w:vertAlign w:val="superscript"/>
        </w:rPr>
        <w:t>2</w:t>
      </w:r>
      <w:r>
        <w:t>, Caroline Gooden PhD</w:t>
      </w:r>
      <w:r>
        <w:rPr>
          <w:vertAlign w:val="superscript"/>
        </w:rPr>
        <w:t>2</w:t>
      </w:r>
      <w:r>
        <w:t>, Fred Biasini PhD</w:t>
      </w:r>
      <w:r>
        <w:rPr>
          <w:vertAlign w:val="superscript"/>
        </w:rPr>
        <w:t>3</w:t>
      </w:r>
      <w:r>
        <w:t>, Jordan Kerr BSPH</w:t>
      </w:r>
      <w:r>
        <w:rPr>
          <w:vertAlign w:val="superscript"/>
        </w:rPr>
        <w:t>4</w:t>
      </w:r>
      <w:r>
        <w:t>, Tanisha Clarke MPH</w:t>
      </w:r>
      <w:r>
        <w:rPr>
          <w:vertAlign w:val="superscript"/>
        </w:rPr>
        <w:t>4</w:t>
      </w:r>
      <w:r>
        <w:t>, Adriane K. Griffen DrPH, MPH, MCHES</w:t>
      </w:r>
      <w:r>
        <w:rPr>
          <w:vertAlign w:val="superscript"/>
        </w:rPr>
        <w:t>4</w:t>
      </w:r>
      <w:r>
        <w:t xml:space="preserve"> </w:t>
      </w:r>
    </w:p>
    <w:p w:rsidR="00B04058" w:rsidRDefault="00B04058" w14:paraId="351E76D3" w14:textId="77777777"/>
    <w:p w:rsidR="00B04058" w:rsidRDefault="00B04058" w14:paraId="6CC14E66" w14:textId="01E74984">
      <w:r>
        <w:rPr>
          <w:vertAlign w:val="superscript"/>
        </w:rPr>
        <w:t>1</w:t>
      </w:r>
      <w:r>
        <w:t xml:space="preserve"> West Virginia University, Department of Pediatrics &amp; Center of Excellence on Disabilities; </w:t>
      </w:r>
      <w:r>
        <w:rPr>
          <w:vertAlign w:val="superscript"/>
        </w:rPr>
        <w:t>2</w:t>
      </w:r>
      <w:r>
        <w:t xml:space="preserve"> University of Kentucky </w:t>
      </w:r>
      <w:r w:rsidR="00777685">
        <w:t xml:space="preserve">Human Development Institute and </w:t>
      </w:r>
      <w:r>
        <w:t xml:space="preserve">Department of </w:t>
      </w:r>
      <w:r w:rsidR="002C5E1E">
        <w:t xml:space="preserve">Early Childhood, </w:t>
      </w:r>
      <w:r w:rsidR="00BF7202">
        <w:t xml:space="preserve">Special Education and Counselor </w:t>
      </w:r>
      <w:r w:rsidR="0032205C">
        <w:t>Education</w:t>
      </w:r>
      <w:r>
        <w:t xml:space="preserve">, </w:t>
      </w:r>
      <w:r>
        <w:rPr>
          <w:vertAlign w:val="superscript"/>
        </w:rPr>
        <w:t>3</w:t>
      </w:r>
      <w:r>
        <w:t xml:space="preserve"> Alabama University Center of Excellence in Developmental Disabilities; </w:t>
      </w:r>
      <w:r>
        <w:rPr>
          <w:vertAlign w:val="superscript"/>
        </w:rPr>
        <w:t>4</w:t>
      </w:r>
      <w:r>
        <w:t xml:space="preserve"> Association of University Centers on Disabilities</w:t>
      </w:r>
    </w:p>
    <w:p w:rsidR="00B04058" w:rsidRDefault="00B04058" w14:paraId="4EE97F69" w14:textId="77777777"/>
    <w:p w:rsidR="00B04058" w:rsidRDefault="00B04058" w14:paraId="6EC9CFC2" w14:textId="77777777">
      <w:pPr>
        <w:rPr>
          <w:b/>
        </w:rPr>
      </w:pPr>
      <w:r>
        <w:rPr>
          <w:b/>
        </w:rPr>
        <w:t>Abstract:</w:t>
      </w:r>
    </w:p>
    <w:p w:rsidR="00B04058" w:rsidRDefault="00B04058" w14:paraId="4F3445E7" w14:textId="77777777">
      <w:r>
        <w:t>Efforts to reduce health care disparities have focused on the need for tool, guidelines, and training materials that would increase accessibility of preventive and treatment options to everyone.  Yet disparities continue to exist noting a continued need to focus on effective programming that would increase awareness that the disparities exist and tools to reduce them over time in various settings. The purpose of this study was to highlight multi-state efforts designed to collaborate with health care providers and provide different forms of training that would be effective at reducing factors associated with health disparities for individuals with disabilities. These initiatives are diverse in terms of their audience and approach. We highlight details about their implementation and note experiences (challenges and potential solutions) associated with implementation and effectiveness including COVID-19.</w:t>
      </w:r>
    </w:p>
    <w:p w:rsidR="00B04058" w:rsidRDefault="00B04058" w14:paraId="236A95A6" w14:textId="77777777"/>
    <w:p w:rsidR="00B04058" w:rsidRDefault="00B04058" w14:paraId="4AFBB5E7" w14:textId="77777777">
      <w:pPr>
        <w:rPr>
          <w:b/>
        </w:rPr>
      </w:pPr>
      <w:r>
        <w:rPr>
          <w:b/>
        </w:rPr>
        <w:t>Background:</w:t>
      </w:r>
    </w:p>
    <w:p w:rsidR="00B04058" w:rsidP="00B04058" w:rsidRDefault="00B04058" w14:paraId="357E4C64" w14:textId="77777777">
      <w:pPr>
        <w:pStyle w:val="ListParagraph"/>
        <w:numPr>
          <w:ilvl w:val="0"/>
          <w:numId w:val="1"/>
        </w:numPr>
      </w:pPr>
      <w:r>
        <w:t>The largest health care consumer group in the United States is made up of individuals with at least one disability. Yet this group tends to have poorer health outcomes at a rate that is significantly higher than people who do not have disabilities (refs).</w:t>
      </w:r>
    </w:p>
    <w:p w:rsidR="00B04058" w:rsidP="00B04058" w:rsidRDefault="00B04058" w14:paraId="49455A44" w14:textId="77777777">
      <w:pPr>
        <w:pStyle w:val="ListParagraph"/>
        <w:numPr>
          <w:ilvl w:val="0"/>
          <w:numId w:val="1"/>
        </w:numPr>
      </w:pPr>
      <w:r>
        <w:t>Health care disparities have been documented consistently for various groups</w:t>
      </w:r>
    </w:p>
    <w:p w:rsidR="00B04058" w:rsidP="00B04058" w:rsidRDefault="00B04058" w14:paraId="04A4B68D" w14:textId="77777777">
      <w:pPr>
        <w:pStyle w:val="ListParagraph"/>
        <w:numPr>
          <w:ilvl w:val="1"/>
          <w:numId w:val="1"/>
        </w:numPr>
      </w:pPr>
      <w:r>
        <w:t>Women with significant disabilities are more likely to have fewer cancer screenings and preventive tests than women who do not have disabilities (refs)</w:t>
      </w:r>
    </w:p>
    <w:p w:rsidR="00B04058" w:rsidP="00B04058" w:rsidRDefault="00B04058" w14:paraId="3DFBFC84" w14:textId="77777777">
      <w:pPr>
        <w:pStyle w:val="ListParagraph"/>
        <w:numPr>
          <w:ilvl w:val="1"/>
          <w:numId w:val="1"/>
        </w:numPr>
      </w:pPr>
      <w:r>
        <w:t>Adults who are deaf are 3X more likely to report poorer health (refs)</w:t>
      </w:r>
    </w:p>
    <w:p w:rsidR="00B04058" w:rsidP="00B04058" w:rsidRDefault="00B04058" w14:paraId="07131DC3" w14:textId="77777777">
      <w:pPr>
        <w:pStyle w:val="ListParagraph"/>
        <w:numPr>
          <w:ilvl w:val="0"/>
          <w:numId w:val="1"/>
        </w:numPr>
      </w:pPr>
      <w:r>
        <w:t xml:space="preserve">Health disparities researchers have highlighted factors including: having limited to no resources that aid in one’s understanding (interpreter services, materials), physical barriers within practice, provider knowledge about health disparity and needs, limited consideration of contextual factors that could impact patient compliance. </w:t>
      </w:r>
    </w:p>
    <w:p w:rsidR="00B04058" w:rsidP="00B04058" w:rsidRDefault="00B04058" w14:paraId="03697219" w14:textId="77777777">
      <w:pPr>
        <w:pStyle w:val="ListParagraph"/>
        <w:numPr>
          <w:ilvl w:val="0"/>
          <w:numId w:val="1"/>
        </w:numPr>
      </w:pPr>
      <w:r>
        <w:t>Efforts to reduce health disparities are ongoing; helpful products for providers and others are increasingly becoming available</w:t>
      </w:r>
    </w:p>
    <w:p w:rsidR="00B04058" w:rsidP="00B04058" w:rsidRDefault="00B04058" w14:paraId="7F4ADBA8" w14:textId="77777777"/>
    <w:p w:rsidR="00B04058" w:rsidP="00B04058" w:rsidRDefault="00B04058" w14:paraId="75D9AD2C" w14:textId="77777777">
      <w:pPr>
        <w:rPr>
          <w:b/>
        </w:rPr>
      </w:pPr>
      <w:r>
        <w:rPr>
          <w:b/>
        </w:rPr>
        <w:t>Purpose of Overview:</w:t>
      </w:r>
    </w:p>
    <w:p w:rsidR="00B04058" w:rsidP="00B04058" w:rsidRDefault="00B04058" w14:paraId="3AD5559D" w14:textId="77777777">
      <w:r>
        <w:t>The purpose of this study was to highlight multi-state efforts within the UCEDD network that were designed and coordinated within AUCD’s HEAT Initiative to collaborate with health care providers and provide different forms of training that would be effective at reducing factors associated with health disparities for individuals with disabilities.</w:t>
      </w:r>
    </w:p>
    <w:p w:rsidR="00B04058" w:rsidP="00B04058" w:rsidRDefault="00B04058" w14:paraId="25423FC7" w14:textId="77777777"/>
    <w:p w:rsidR="00B04058" w:rsidP="00B04058" w:rsidRDefault="00B04058" w14:paraId="799583AA" w14:textId="77777777">
      <w:pPr>
        <w:rPr>
          <w:b/>
        </w:rPr>
      </w:pPr>
    </w:p>
    <w:p w:rsidR="00B04058" w:rsidP="00B04058" w:rsidRDefault="00B04058" w14:paraId="77E910CF" w14:textId="77777777">
      <w:pPr>
        <w:rPr>
          <w:b/>
        </w:rPr>
      </w:pPr>
    </w:p>
    <w:p w:rsidR="00B04058" w:rsidP="00B04058" w:rsidRDefault="00B04058" w14:paraId="4336BF5F" w14:textId="77777777">
      <w:pPr>
        <w:rPr>
          <w:b/>
        </w:rPr>
      </w:pPr>
      <w:r>
        <w:rPr>
          <w:b/>
        </w:rPr>
        <w:t>Methods:</w:t>
      </w:r>
    </w:p>
    <w:p w:rsidR="00B04058" w:rsidP="00B04058" w:rsidRDefault="00B04058" w14:paraId="26588830" w14:textId="77777777">
      <w:pPr>
        <w:rPr>
          <w:b/>
          <w:i/>
        </w:rPr>
      </w:pPr>
    </w:p>
    <w:p w:rsidRPr="00B04058" w:rsidR="00B04058" w:rsidP="00B04058" w:rsidRDefault="00B04058" w14:paraId="2D6D69C3" w14:textId="77777777">
      <w:pPr>
        <w:rPr>
          <w:b/>
          <w:i/>
        </w:rPr>
      </w:pPr>
      <w:r w:rsidRPr="00B04058">
        <w:rPr>
          <w:b/>
          <w:i/>
        </w:rPr>
        <w:t>Participating Institutions and Initiatives:</w:t>
      </w:r>
    </w:p>
    <w:p w:rsidR="00B04058" w:rsidP="00B04058" w:rsidRDefault="00B04058" w14:paraId="597F2CE3" w14:textId="77777777">
      <w:pPr>
        <w:rPr>
          <w:i/>
        </w:rPr>
      </w:pPr>
      <w:r>
        <w:t xml:space="preserve">University of Alabama at Birmingham: </w:t>
      </w:r>
      <w:r>
        <w:rPr>
          <w:i/>
        </w:rPr>
        <w:t>Health is for Everyone</w:t>
      </w:r>
    </w:p>
    <w:p w:rsidR="00B04058" w:rsidP="00B04058" w:rsidRDefault="00B04058" w14:paraId="7EE9F281" w14:textId="77777777">
      <w:pPr>
        <w:rPr>
          <w:i/>
        </w:rPr>
      </w:pPr>
      <w:r>
        <w:t xml:space="preserve">University of Kentucky: </w:t>
      </w:r>
      <w:r>
        <w:rPr>
          <w:i/>
        </w:rPr>
        <w:t>Teaching and Learning Initiatives</w:t>
      </w:r>
    </w:p>
    <w:p w:rsidR="00B04058" w:rsidP="00B04058" w:rsidRDefault="00B04058" w14:paraId="70092A3C" w14:textId="77777777">
      <w:pPr>
        <w:rPr>
          <w:i/>
        </w:rPr>
      </w:pPr>
      <w:r>
        <w:t xml:space="preserve">West Virginia University: </w:t>
      </w:r>
      <w:r>
        <w:rPr>
          <w:i/>
        </w:rPr>
        <w:t>Not Your Standard Patient</w:t>
      </w:r>
      <w:r>
        <w:t xml:space="preserve"> and </w:t>
      </w:r>
      <w:r>
        <w:rPr>
          <w:i/>
        </w:rPr>
        <w:t>Project DOCC</w:t>
      </w:r>
    </w:p>
    <w:p w:rsidR="00B04058" w:rsidP="00B04058" w:rsidRDefault="00B04058" w14:paraId="2AA624E0" w14:textId="77777777"/>
    <w:p w:rsidR="00B04058" w:rsidP="00B04058" w:rsidRDefault="00B04058" w14:paraId="42E18090" w14:textId="77777777">
      <w:pPr>
        <w:rPr>
          <w:b/>
          <w:i/>
        </w:rPr>
      </w:pPr>
      <w:r>
        <w:rPr>
          <w:b/>
          <w:i/>
        </w:rPr>
        <w:t>Procedures:</w:t>
      </w:r>
    </w:p>
    <w:p w:rsidR="00B04058" w:rsidP="00B04058" w:rsidRDefault="00B04058" w14:paraId="600DF053" w14:textId="77777777">
      <w:r>
        <w:t xml:space="preserve">The HEAT Initiative met quarterly during the proposed period. Participating institutions were at various stages with their health disparities initiatives. Each continued to develop, implement, evaluation, and/or sustain initiatives during an 18-month period from 2018-2020. Team meetings included a review of current activities, planned activities in the next quarter, challenges experienced to date, proposed solutions, and if attempted, success of efforts to combat challenges. </w:t>
      </w:r>
    </w:p>
    <w:p w:rsidR="00B04058" w:rsidP="00B04058" w:rsidRDefault="00B04058" w14:paraId="11C97C18" w14:textId="77777777"/>
    <w:p w:rsidR="00217019" w:rsidRDefault="00217019" w14:paraId="3E52A513" w14:textId="77777777">
      <w:pPr>
        <w:rPr>
          <w:b/>
        </w:rPr>
      </w:pPr>
      <w:r>
        <w:rPr>
          <w:b/>
        </w:rPr>
        <w:br w:type="page"/>
      </w:r>
    </w:p>
    <w:p w:rsidR="00217019" w:rsidP="00B04058" w:rsidRDefault="00217019" w14:paraId="50A77116" w14:textId="77777777">
      <w:pPr>
        <w:rPr>
          <w:b/>
        </w:rPr>
        <w:sectPr w:rsidR="00217019" w:rsidSect="00352887">
          <w:pgSz w:w="12240" w:h="15840" w:orient="portrait"/>
          <w:pgMar w:top="1440" w:right="1440" w:bottom="1440" w:left="1440" w:header="720" w:footer="720" w:gutter="0"/>
          <w:cols w:space="720"/>
          <w:docGrid w:linePitch="360"/>
        </w:sectPr>
      </w:pPr>
    </w:p>
    <w:p w:rsidR="00B04058" w:rsidP="00B04058" w:rsidRDefault="00B04058" w14:paraId="79AA5352" w14:textId="03939AD4">
      <w:pPr>
        <w:rPr>
          <w:b/>
        </w:rPr>
      </w:pPr>
      <w:r>
        <w:rPr>
          <w:b/>
        </w:rPr>
        <w:lastRenderedPageBreak/>
        <w:t>Initiative Overview:</w:t>
      </w:r>
    </w:p>
    <w:p w:rsidR="00B04058" w:rsidP="00B04058" w:rsidRDefault="00B04058" w14:paraId="164B703F" w14:textId="77777777">
      <w:pPr>
        <w:rPr>
          <w:b/>
        </w:rPr>
      </w:pPr>
    </w:p>
    <w:tbl>
      <w:tblPr>
        <w:tblStyle w:val="TableGrid"/>
        <w:tblW w:w="13510" w:type="dxa"/>
        <w:tblInd w:w="-365" w:type="dxa"/>
        <w:tblLook w:val="04A0" w:firstRow="1" w:lastRow="0" w:firstColumn="1" w:lastColumn="0" w:noHBand="0" w:noVBand="1"/>
      </w:tblPr>
      <w:tblGrid>
        <w:gridCol w:w="1938"/>
        <w:gridCol w:w="2742"/>
        <w:gridCol w:w="3510"/>
        <w:gridCol w:w="2530"/>
        <w:gridCol w:w="2790"/>
      </w:tblGrid>
      <w:tr w:rsidR="00217019" w:rsidTr="1027D862" w14:paraId="28D29C4E" w14:textId="77777777">
        <w:tc>
          <w:tcPr>
            <w:tcW w:w="1938" w:type="dxa"/>
            <w:tcMar/>
          </w:tcPr>
          <w:p w:rsidRPr="00B04058" w:rsidR="00B04058" w:rsidP="00B04058" w:rsidRDefault="00B04058" w14:paraId="671DD350" w14:textId="77777777">
            <w:pPr>
              <w:jc w:val="center"/>
              <w:rPr>
                <w:b/>
                <w:i/>
              </w:rPr>
            </w:pPr>
          </w:p>
        </w:tc>
        <w:tc>
          <w:tcPr>
            <w:tcW w:w="2742" w:type="dxa"/>
            <w:tcMar/>
          </w:tcPr>
          <w:p w:rsidRPr="00B04058" w:rsidR="00B04058" w:rsidP="00B04058" w:rsidRDefault="00B04058" w14:paraId="7E408744" w14:textId="77777777">
            <w:pPr>
              <w:jc w:val="center"/>
              <w:rPr>
                <w:b/>
                <w:i/>
              </w:rPr>
            </w:pPr>
            <w:r w:rsidRPr="00B04058">
              <w:rPr>
                <w:b/>
                <w:i/>
              </w:rPr>
              <w:t>Health is for Everyone</w:t>
            </w:r>
          </w:p>
        </w:tc>
        <w:tc>
          <w:tcPr>
            <w:tcW w:w="3510" w:type="dxa"/>
            <w:tcMar/>
          </w:tcPr>
          <w:p w:rsidRPr="000F6937" w:rsidR="00B04058" w:rsidP="552CE43B" w:rsidRDefault="00B04058" w14:paraId="0C92286D" w14:textId="77777777" w14:noSpellErr="1">
            <w:pPr>
              <w:jc w:val="center"/>
              <w:rPr>
                <w:b w:val="1"/>
                <w:bCs w:val="1"/>
                <w:i w:val="1"/>
                <w:iCs w:val="1"/>
              </w:rPr>
            </w:pPr>
            <w:r w:rsidRPr="552CE43B" w:rsidR="00B04058">
              <w:rPr>
                <w:b w:val="1"/>
                <w:bCs w:val="1"/>
                <w:i w:val="1"/>
                <w:iCs w:val="1"/>
              </w:rPr>
              <w:t>Teaching &amp; Learning Initiatives</w:t>
            </w:r>
          </w:p>
        </w:tc>
        <w:tc>
          <w:tcPr>
            <w:tcW w:w="2530" w:type="dxa"/>
            <w:tcMar/>
          </w:tcPr>
          <w:p w:rsidRPr="00B04058" w:rsidR="00B04058" w:rsidP="00B04058" w:rsidRDefault="00B04058" w14:paraId="5E25A6A7" w14:textId="77777777">
            <w:pPr>
              <w:jc w:val="center"/>
              <w:rPr>
                <w:b/>
                <w:i/>
              </w:rPr>
            </w:pPr>
            <w:r w:rsidRPr="00B04058">
              <w:rPr>
                <w:b/>
                <w:i/>
              </w:rPr>
              <w:t>Not Your Standard Patient</w:t>
            </w:r>
          </w:p>
        </w:tc>
        <w:tc>
          <w:tcPr>
            <w:tcW w:w="2790" w:type="dxa"/>
            <w:tcMar/>
          </w:tcPr>
          <w:p w:rsidRPr="00B04058" w:rsidR="00B04058" w:rsidP="00B04058" w:rsidRDefault="00B04058" w14:paraId="65773254" w14:textId="77777777">
            <w:pPr>
              <w:jc w:val="center"/>
              <w:rPr>
                <w:b/>
                <w:i/>
              </w:rPr>
            </w:pPr>
            <w:r w:rsidRPr="00B04058">
              <w:rPr>
                <w:b/>
                <w:i/>
              </w:rPr>
              <w:t>Project DOCC</w:t>
            </w:r>
          </w:p>
        </w:tc>
      </w:tr>
      <w:tr w:rsidR="00217019" w:rsidTr="1027D862" w14:paraId="4F61784E" w14:textId="77777777">
        <w:tc>
          <w:tcPr>
            <w:tcW w:w="1938" w:type="dxa"/>
            <w:tcMar/>
          </w:tcPr>
          <w:p w:rsidRPr="00217019" w:rsidR="00B04058" w:rsidP="00B04058" w:rsidRDefault="00B04058" w14:paraId="32C3235E" w14:textId="77777777">
            <w:pPr>
              <w:rPr>
                <w:rFonts w:ascii="Arial" w:hAnsi="Arial" w:cs="Arial"/>
                <w:bCs/>
                <w:sz w:val="20"/>
                <w:szCs w:val="20"/>
              </w:rPr>
            </w:pPr>
            <w:r w:rsidRPr="00217019">
              <w:rPr>
                <w:rFonts w:ascii="Arial" w:hAnsi="Arial" w:cs="Arial"/>
                <w:bCs/>
                <w:sz w:val="20"/>
                <w:szCs w:val="20"/>
              </w:rPr>
              <w:t>Overall Goal</w:t>
            </w:r>
          </w:p>
        </w:tc>
        <w:tc>
          <w:tcPr>
            <w:tcW w:w="2742" w:type="dxa"/>
            <w:tcMar/>
          </w:tcPr>
          <w:p w:rsidRPr="00217019" w:rsidR="00B04058" w:rsidP="1027D862" w:rsidRDefault="00B04058" w14:paraId="0330AE7C" w14:textId="55C711DE">
            <w:pPr>
              <w:pStyle w:val="Normal"/>
              <w:bidi w:val="0"/>
              <w:spacing w:before="0" w:beforeAutospacing="off" w:after="0" w:afterAutospacing="off" w:line="259" w:lineRule="auto"/>
              <w:ind w:left="0" w:right="0"/>
              <w:jc w:val="left"/>
            </w:pPr>
            <w:r w:rsidRPr="1027D862" w:rsidR="79F20AB9">
              <w:rPr>
                <w:rFonts w:ascii="Arial" w:hAnsi="Arial" w:cs="Arial"/>
                <w:sz w:val="20"/>
                <w:szCs w:val="20"/>
              </w:rPr>
              <w:t>Increase medical student knowledge and comfort providing services to children with special health care needs and their families.</w:t>
            </w:r>
          </w:p>
        </w:tc>
        <w:tc>
          <w:tcPr>
            <w:tcW w:w="3510" w:type="dxa"/>
            <w:tcMar/>
          </w:tcPr>
          <w:p w:rsidRPr="00217019" w:rsidR="004A24FE" w:rsidP="004A24FE" w:rsidRDefault="004A24FE" w14:paraId="7DA27CA5" w14:textId="77777777">
            <w:pPr>
              <w:pStyle w:val="ListParagraph"/>
              <w:ind w:left="150"/>
              <w:rPr>
                <w:rStyle w:val="Emphasis"/>
                <w:rFonts w:ascii="Arial" w:hAnsi="Arial" w:cs="Arial"/>
                <w:bCs/>
                <w:i w:val="0"/>
                <w:sz w:val="20"/>
                <w:szCs w:val="20"/>
              </w:rPr>
            </w:pPr>
            <w:r w:rsidRPr="00217019">
              <w:rPr>
                <w:rFonts w:ascii="Arial" w:hAnsi="Arial" w:cs="Arial"/>
                <w:bCs/>
                <w:sz w:val="20"/>
                <w:szCs w:val="20"/>
              </w:rPr>
              <w:t>University students taking courses in medicine and healthcare will report increased knowledge on topics related to disability and inclusion as a result of participating the Human Development Institute’s University Lecture Series during the 2019-2020 academic year.</w:t>
            </w:r>
          </w:p>
          <w:p w:rsidRPr="00217019" w:rsidR="00B04058" w:rsidP="00B04058" w:rsidRDefault="00B04058" w14:paraId="5D94CF96" w14:textId="77777777">
            <w:pPr>
              <w:rPr>
                <w:rFonts w:ascii="Arial" w:hAnsi="Arial" w:cs="Arial"/>
                <w:bCs/>
                <w:sz w:val="20"/>
                <w:szCs w:val="20"/>
              </w:rPr>
            </w:pPr>
          </w:p>
        </w:tc>
        <w:tc>
          <w:tcPr>
            <w:tcW w:w="2530" w:type="dxa"/>
            <w:tcMar/>
          </w:tcPr>
          <w:p w:rsidRPr="00217019" w:rsidR="00B04058" w:rsidP="00B04058" w:rsidRDefault="00217019" w14:paraId="30EC91D3" w14:textId="25EE939D">
            <w:pPr>
              <w:rPr>
                <w:rFonts w:ascii="Arial" w:hAnsi="Arial" w:cs="Arial"/>
                <w:bCs/>
                <w:sz w:val="20"/>
                <w:szCs w:val="20"/>
              </w:rPr>
            </w:pPr>
            <w:r>
              <w:rPr>
                <w:rFonts w:ascii="Arial" w:hAnsi="Arial" w:cs="Arial"/>
                <w:bCs/>
                <w:sz w:val="20"/>
                <w:szCs w:val="20"/>
              </w:rPr>
              <w:t>Health sciences students will increase their awareness of disability services, increase their person-centered care and people first language, and incorporate disability considerations in their clinical approach.</w:t>
            </w:r>
          </w:p>
        </w:tc>
        <w:tc>
          <w:tcPr>
            <w:tcW w:w="2790" w:type="dxa"/>
            <w:tcMar/>
          </w:tcPr>
          <w:p w:rsidRPr="00217019" w:rsidR="00B04058" w:rsidP="00B04058" w:rsidRDefault="00217019" w14:paraId="7EA30771" w14:textId="7D4357D3">
            <w:pPr>
              <w:rPr>
                <w:rFonts w:ascii="Arial" w:hAnsi="Arial" w:cs="Arial"/>
                <w:bCs/>
                <w:sz w:val="20"/>
                <w:szCs w:val="20"/>
              </w:rPr>
            </w:pPr>
            <w:r>
              <w:rPr>
                <w:rFonts w:ascii="Arial" w:hAnsi="Arial" w:cs="Arial"/>
                <w:bCs/>
                <w:sz w:val="20"/>
                <w:szCs w:val="20"/>
              </w:rPr>
              <w:t>Health sciences students and families will discuss family experiences with clinical care to increase their knowledge of family-centered medical home.</w:t>
            </w:r>
          </w:p>
        </w:tc>
      </w:tr>
      <w:tr w:rsidR="00217019" w:rsidTr="1027D862" w14:paraId="0DEE3A8C" w14:textId="77777777">
        <w:tc>
          <w:tcPr>
            <w:tcW w:w="1938" w:type="dxa"/>
            <w:tcMar/>
          </w:tcPr>
          <w:p w:rsidRPr="00217019" w:rsidR="00B04058" w:rsidP="552CE43B" w:rsidRDefault="00B04058" w14:paraId="2159CBA7" w14:textId="0B6A64AC">
            <w:pPr>
              <w:pStyle w:val="Normal"/>
              <w:bidi w:val="0"/>
              <w:spacing w:before="0" w:beforeAutospacing="off" w:after="0" w:afterAutospacing="off" w:line="259" w:lineRule="auto"/>
              <w:ind w:left="0" w:right="0"/>
              <w:jc w:val="left"/>
            </w:pPr>
            <w:r w:rsidRPr="552CE43B" w:rsidR="2D19CBD2">
              <w:rPr>
                <w:rFonts w:ascii="Arial" w:hAnsi="Arial" w:cs="Arial"/>
                <w:sz w:val="20"/>
                <w:szCs w:val="20"/>
              </w:rPr>
              <w:t>Focus</w:t>
            </w:r>
          </w:p>
        </w:tc>
        <w:tc>
          <w:tcPr>
            <w:tcW w:w="2742" w:type="dxa"/>
            <w:tcMar/>
          </w:tcPr>
          <w:p w:rsidRPr="00217019" w:rsidR="00B04058" w:rsidP="1027D862" w:rsidRDefault="00B04058" w14:paraId="1D8549BA" w14:textId="520D40B5">
            <w:pPr>
              <w:rPr>
                <w:rFonts w:ascii="Arial" w:hAnsi="Arial" w:cs="Arial"/>
                <w:sz w:val="20"/>
                <w:szCs w:val="20"/>
              </w:rPr>
            </w:pPr>
            <w:r w:rsidRPr="1027D862" w:rsidR="4FC465F5">
              <w:rPr>
                <w:rFonts w:ascii="Arial" w:hAnsi="Arial" w:cs="Arial"/>
                <w:sz w:val="20"/>
                <w:szCs w:val="20"/>
              </w:rPr>
              <w:t>Incorporate increased focus on disability services, service coordination, and developmental approaches within the medical school curriculum.</w:t>
            </w:r>
          </w:p>
          <w:p w:rsidRPr="00217019" w:rsidR="00B04058" w:rsidP="1027D862" w:rsidRDefault="00B04058" w14:paraId="0CE68ECD" w14:textId="0BF13ADD">
            <w:pPr>
              <w:pStyle w:val="Normal"/>
              <w:rPr>
                <w:rFonts w:ascii="Arial" w:hAnsi="Arial" w:cs="Arial"/>
                <w:sz w:val="20"/>
                <w:szCs w:val="20"/>
              </w:rPr>
            </w:pPr>
          </w:p>
        </w:tc>
        <w:tc>
          <w:tcPr>
            <w:tcW w:w="3510" w:type="dxa"/>
            <w:tcMar/>
          </w:tcPr>
          <w:p w:rsidRPr="00217019" w:rsidR="00B04058" w:rsidP="552CE43B" w:rsidRDefault="004A24FE" w14:paraId="04010CBE" w14:textId="787F1EB2">
            <w:pPr>
              <w:pStyle w:val="Normal"/>
              <w:bidi w:val="0"/>
              <w:spacing w:before="0" w:beforeAutospacing="off" w:after="0" w:afterAutospacing="off" w:line="259" w:lineRule="auto"/>
              <w:ind w:left="0" w:right="0"/>
              <w:jc w:val="left"/>
            </w:pPr>
            <w:r w:rsidRPr="552CE43B" w:rsidR="2D19CBD2">
              <w:rPr>
                <w:rFonts w:ascii="Arial" w:hAnsi="Arial" w:cs="Arial"/>
                <w:sz w:val="20"/>
                <w:szCs w:val="20"/>
              </w:rPr>
              <w:t>Disability transitions, development, and coordination of care</w:t>
            </w:r>
          </w:p>
        </w:tc>
        <w:tc>
          <w:tcPr>
            <w:tcW w:w="2530" w:type="dxa"/>
            <w:tcMar/>
          </w:tcPr>
          <w:p w:rsidRPr="00217019" w:rsidR="00B04058" w:rsidP="552CE43B" w:rsidRDefault="00217019" w14:paraId="37528654" w14:textId="344EFD9D">
            <w:pPr>
              <w:pStyle w:val="Normal"/>
              <w:bidi w:val="0"/>
              <w:spacing w:before="0" w:beforeAutospacing="off" w:after="0" w:afterAutospacing="off" w:line="259" w:lineRule="auto"/>
              <w:ind w:left="0" w:right="0"/>
              <w:jc w:val="left"/>
            </w:pPr>
            <w:r w:rsidRPr="552CE43B" w:rsidR="2D19CBD2">
              <w:rPr>
                <w:rFonts w:ascii="Arial" w:hAnsi="Arial" w:cs="Arial"/>
                <w:sz w:val="20"/>
                <w:szCs w:val="20"/>
              </w:rPr>
              <w:t>Etiquette and visit impressions</w:t>
            </w:r>
          </w:p>
        </w:tc>
        <w:tc>
          <w:tcPr>
            <w:tcW w:w="2790" w:type="dxa"/>
            <w:tcMar/>
          </w:tcPr>
          <w:p w:rsidRPr="00217019" w:rsidR="00B04058" w:rsidP="00B04058" w:rsidRDefault="00217019" w14:paraId="73F80BEB" w14:textId="3274C1C2">
            <w:pPr>
              <w:rPr>
                <w:rFonts w:ascii="Arial" w:hAnsi="Arial" w:cs="Arial"/>
                <w:sz w:val="20"/>
                <w:szCs w:val="20"/>
              </w:rPr>
            </w:pPr>
            <w:r w:rsidRPr="552CE43B" w:rsidR="2C19C5C9">
              <w:rPr>
                <w:rFonts w:ascii="Arial" w:hAnsi="Arial" w:cs="Arial"/>
                <w:sz w:val="20"/>
                <w:szCs w:val="20"/>
              </w:rPr>
              <w:t>Patient-centered medical home</w:t>
            </w:r>
          </w:p>
        </w:tc>
      </w:tr>
      <w:tr w:rsidR="00217019" w:rsidTr="1027D862" w14:paraId="0E1894CA" w14:textId="77777777">
        <w:tc>
          <w:tcPr>
            <w:tcW w:w="1938" w:type="dxa"/>
            <w:tcMar/>
          </w:tcPr>
          <w:p w:rsidRPr="00217019" w:rsidR="00B04058" w:rsidP="00B04058" w:rsidRDefault="00B04058" w14:paraId="0748D039" w14:textId="77777777">
            <w:pPr>
              <w:rPr>
                <w:rFonts w:ascii="Arial" w:hAnsi="Arial" w:cs="Arial"/>
                <w:sz w:val="20"/>
                <w:szCs w:val="20"/>
              </w:rPr>
            </w:pPr>
            <w:r w:rsidRPr="00217019">
              <w:rPr>
                <w:rFonts w:ascii="Arial" w:hAnsi="Arial" w:cs="Arial"/>
                <w:sz w:val="20"/>
                <w:szCs w:val="20"/>
              </w:rPr>
              <w:t>Learners</w:t>
            </w:r>
          </w:p>
        </w:tc>
        <w:tc>
          <w:tcPr>
            <w:tcW w:w="2742" w:type="dxa"/>
            <w:tcMar/>
          </w:tcPr>
          <w:p w:rsidRPr="00217019" w:rsidR="00B04058" w:rsidP="1027D862" w:rsidRDefault="00B04058" w14:paraId="0F68D980" w14:textId="710D0317">
            <w:pPr>
              <w:rPr>
                <w:rFonts w:ascii="Arial" w:hAnsi="Arial" w:cs="Arial"/>
                <w:sz w:val="20"/>
                <w:szCs w:val="20"/>
                <w:vertAlign w:val="superscript"/>
              </w:rPr>
            </w:pPr>
            <w:r w:rsidRPr="1027D862" w:rsidR="3AF3210D">
              <w:rPr>
                <w:rFonts w:ascii="Arial" w:hAnsi="Arial" w:cs="Arial"/>
                <w:sz w:val="20"/>
                <w:szCs w:val="20"/>
              </w:rPr>
              <w:t>University third year medical students in Pediatrics and Family Medicine</w:t>
            </w:r>
          </w:p>
        </w:tc>
        <w:tc>
          <w:tcPr>
            <w:tcW w:w="3510" w:type="dxa"/>
            <w:tcMar/>
          </w:tcPr>
          <w:p w:rsidRPr="00217019" w:rsidR="00B04058" w:rsidP="00B04058" w:rsidRDefault="004A24FE" w14:paraId="446CBF38" w14:textId="45026651">
            <w:pPr>
              <w:rPr>
                <w:rFonts w:ascii="Arial" w:hAnsi="Arial" w:cs="Arial"/>
                <w:sz w:val="20"/>
                <w:szCs w:val="20"/>
              </w:rPr>
            </w:pPr>
            <w:r w:rsidRPr="552CE43B" w:rsidR="004A24FE">
              <w:rPr>
                <w:rFonts w:ascii="Arial" w:hAnsi="Arial" w:cs="Arial"/>
                <w:sz w:val="20"/>
                <w:szCs w:val="20"/>
              </w:rPr>
              <w:t>University students and medical residents</w:t>
            </w:r>
          </w:p>
        </w:tc>
        <w:tc>
          <w:tcPr>
            <w:tcW w:w="2530" w:type="dxa"/>
            <w:tcMar/>
          </w:tcPr>
          <w:p w:rsidRPr="00217019" w:rsidR="00B04058" w:rsidP="552CE43B" w:rsidRDefault="00217019" w14:paraId="1AF09845" w14:textId="733956F9">
            <w:pPr>
              <w:pStyle w:val="Normal"/>
              <w:bidi w:val="0"/>
              <w:spacing w:before="0" w:beforeAutospacing="off" w:after="0" w:afterAutospacing="off" w:line="259" w:lineRule="auto"/>
              <w:ind w:left="0" w:right="0"/>
              <w:jc w:val="left"/>
            </w:pPr>
            <w:r w:rsidRPr="552CE43B" w:rsidR="10D38EE9">
              <w:rPr>
                <w:rFonts w:ascii="Arial" w:hAnsi="Arial" w:cs="Arial"/>
                <w:sz w:val="20"/>
                <w:szCs w:val="20"/>
              </w:rPr>
              <w:t>Undergraduate medical students</w:t>
            </w:r>
          </w:p>
        </w:tc>
        <w:tc>
          <w:tcPr>
            <w:tcW w:w="2790" w:type="dxa"/>
            <w:tcMar/>
          </w:tcPr>
          <w:p w:rsidRPr="00217019" w:rsidR="00B04058" w:rsidP="552CE43B" w:rsidRDefault="00217019" w14:noSpellErr="1" w14:paraId="5C85E62B" w14:textId="18C748CA">
            <w:pPr>
              <w:rPr>
                <w:rFonts w:ascii="Arial" w:hAnsi="Arial" w:cs="Arial"/>
                <w:sz w:val="20"/>
                <w:szCs w:val="20"/>
              </w:rPr>
            </w:pPr>
            <w:r w:rsidRPr="552CE43B" w:rsidR="3A34ED23">
              <w:rPr>
                <w:rFonts w:ascii="Arial" w:hAnsi="Arial" w:cs="Arial"/>
                <w:sz w:val="20"/>
                <w:szCs w:val="20"/>
              </w:rPr>
              <w:t xml:space="preserve"> pharmacy, medicine, nursing, students and medical residents.</w:t>
            </w:r>
          </w:p>
          <w:p w:rsidRPr="00217019" w:rsidR="00B04058" w:rsidP="552CE43B" w:rsidRDefault="00217019" w14:paraId="1B0E4923" w14:textId="1178F726">
            <w:pPr>
              <w:pStyle w:val="Normal"/>
              <w:rPr>
                <w:rFonts w:ascii="Arial" w:hAnsi="Arial" w:cs="Arial"/>
                <w:sz w:val="20"/>
                <w:szCs w:val="20"/>
              </w:rPr>
            </w:pPr>
          </w:p>
        </w:tc>
      </w:tr>
      <w:tr w:rsidR="00217019" w:rsidTr="1027D862" w14:paraId="50AFE036" w14:textId="77777777">
        <w:tc>
          <w:tcPr>
            <w:tcW w:w="1938" w:type="dxa"/>
            <w:tcMar/>
          </w:tcPr>
          <w:p w:rsidRPr="00217019" w:rsidR="00B04058" w:rsidP="00B04058" w:rsidRDefault="00B04058" w14:paraId="6010D163" w14:textId="77777777">
            <w:pPr>
              <w:rPr>
                <w:rFonts w:ascii="Arial" w:hAnsi="Arial" w:cs="Arial"/>
                <w:sz w:val="20"/>
                <w:szCs w:val="20"/>
              </w:rPr>
            </w:pPr>
            <w:r w:rsidRPr="00217019">
              <w:rPr>
                <w:rFonts w:ascii="Arial" w:hAnsi="Arial" w:cs="Arial"/>
                <w:sz w:val="20"/>
                <w:szCs w:val="20"/>
              </w:rPr>
              <w:t>Facilitators</w:t>
            </w:r>
          </w:p>
        </w:tc>
        <w:tc>
          <w:tcPr>
            <w:tcW w:w="2742" w:type="dxa"/>
            <w:tcMar/>
          </w:tcPr>
          <w:p w:rsidRPr="00217019" w:rsidR="00B04058" w:rsidP="1027D862" w:rsidRDefault="00B04058" w14:paraId="003DB22A" w14:textId="1F560280">
            <w:pPr>
              <w:rPr>
                <w:rFonts w:ascii="Arial" w:hAnsi="Arial" w:cs="Arial"/>
                <w:b w:val="0"/>
                <w:bCs w:val="0"/>
                <w:sz w:val="20"/>
                <w:szCs w:val="20"/>
              </w:rPr>
            </w:pPr>
            <w:r w:rsidRPr="1027D862" w:rsidR="0C5D7C97">
              <w:rPr>
                <w:rFonts w:ascii="Arial" w:hAnsi="Arial" w:cs="Arial"/>
                <w:b w:val="0"/>
                <w:bCs w:val="0"/>
                <w:sz w:val="20"/>
                <w:szCs w:val="20"/>
              </w:rPr>
              <w:t>UAB medical faculty</w:t>
            </w:r>
          </w:p>
        </w:tc>
        <w:tc>
          <w:tcPr>
            <w:tcW w:w="3510" w:type="dxa"/>
            <w:tcMar/>
          </w:tcPr>
          <w:p w:rsidRPr="00217019" w:rsidR="00B04058" w:rsidP="00B04058" w:rsidRDefault="004A24FE" w14:paraId="59E897A6" w14:textId="77777777">
            <w:pPr>
              <w:rPr>
                <w:rFonts w:ascii="Arial" w:hAnsi="Arial" w:cs="Arial"/>
                <w:bCs/>
                <w:sz w:val="20"/>
                <w:szCs w:val="20"/>
              </w:rPr>
            </w:pPr>
            <w:r w:rsidRPr="00217019">
              <w:rPr>
                <w:rFonts w:ascii="Arial" w:hAnsi="Arial" w:cs="Arial"/>
                <w:bCs/>
                <w:sz w:val="20"/>
                <w:szCs w:val="20"/>
              </w:rPr>
              <w:t xml:space="preserve">HDI staff </w:t>
            </w:r>
          </w:p>
        </w:tc>
        <w:tc>
          <w:tcPr>
            <w:tcW w:w="2530" w:type="dxa"/>
            <w:tcMar/>
          </w:tcPr>
          <w:p w:rsidRPr="00217019" w:rsidR="00B04058" w:rsidP="00B04058" w:rsidRDefault="00217019" w14:paraId="4B0EA375" w14:textId="71C60C1D">
            <w:pPr>
              <w:rPr>
                <w:rFonts w:ascii="Arial" w:hAnsi="Arial" w:cs="Arial"/>
                <w:bCs/>
                <w:sz w:val="20"/>
                <w:szCs w:val="20"/>
              </w:rPr>
            </w:pPr>
            <w:r w:rsidRPr="00217019">
              <w:rPr>
                <w:rFonts w:ascii="Arial" w:hAnsi="Arial" w:cs="Arial"/>
                <w:bCs/>
                <w:sz w:val="20"/>
                <w:szCs w:val="20"/>
              </w:rPr>
              <w:t>WVU faculty; simulation center team</w:t>
            </w:r>
          </w:p>
        </w:tc>
        <w:tc>
          <w:tcPr>
            <w:tcW w:w="2790" w:type="dxa"/>
            <w:tcMar/>
          </w:tcPr>
          <w:p w:rsidRPr="00217019" w:rsidR="00B04058" w:rsidP="00B04058" w:rsidRDefault="00217019" w14:paraId="0BA193CD" w14:textId="0FBF5ED9">
            <w:pPr>
              <w:rPr>
                <w:rFonts w:ascii="Arial" w:hAnsi="Arial" w:cs="Arial"/>
                <w:bCs/>
                <w:sz w:val="20"/>
                <w:szCs w:val="20"/>
              </w:rPr>
            </w:pPr>
            <w:r w:rsidRPr="00217019">
              <w:rPr>
                <w:rFonts w:ascii="Arial" w:hAnsi="Arial" w:cs="Arial"/>
                <w:bCs/>
                <w:sz w:val="20"/>
                <w:szCs w:val="20"/>
              </w:rPr>
              <w:t>5 faculty mentors and 5 family mentors</w:t>
            </w:r>
          </w:p>
        </w:tc>
      </w:tr>
      <w:tr w:rsidR="00217019" w:rsidTr="1027D862" w14:paraId="1986F1B7" w14:textId="77777777">
        <w:tc>
          <w:tcPr>
            <w:tcW w:w="1938" w:type="dxa"/>
            <w:tcMar/>
          </w:tcPr>
          <w:p w:rsidRPr="00217019" w:rsidR="004A24FE" w:rsidP="004A24FE" w:rsidRDefault="004A24FE" w14:paraId="06394F10" w14:textId="77777777">
            <w:pPr>
              <w:rPr>
                <w:rFonts w:ascii="Arial" w:hAnsi="Arial" w:cs="Arial"/>
                <w:bCs/>
                <w:sz w:val="20"/>
                <w:szCs w:val="20"/>
              </w:rPr>
            </w:pPr>
            <w:r w:rsidRPr="00217019">
              <w:rPr>
                <w:rFonts w:ascii="Arial" w:hAnsi="Arial" w:cs="Arial"/>
                <w:bCs/>
                <w:sz w:val="20"/>
                <w:szCs w:val="20"/>
              </w:rPr>
              <w:t>Procedures</w:t>
            </w:r>
          </w:p>
        </w:tc>
        <w:tc>
          <w:tcPr>
            <w:tcW w:w="2742" w:type="dxa"/>
            <w:tcMar/>
          </w:tcPr>
          <w:p w:rsidRPr="00217019" w:rsidR="004A24FE" w:rsidP="1027D862" w:rsidRDefault="004A24FE" w14:paraId="483C743B" w14:textId="528106E5">
            <w:pPr>
              <w:rPr>
                <w:rFonts w:ascii="Arial" w:hAnsi="Arial" w:cs="Arial"/>
                <w:b w:val="1"/>
                <w:bCs w:val="1"/>
                <w:sz w:val="20"/>
                <w:szCs w:val="20"/>
              </w:rPr>
            </w:pPr>
            <w:r w:rsidRPr="1027D862" w:rsidR="6BEBFB8E">
              <w:rPr>
                <w:rFonts w:ascii="Arial" w:hAnsi="Arial" w:cs="Arial"/>
                <w:b w:val="0"/>
                <w:bCs w:val="0"/>
                <w:sz w:val="20"/>
                <w:szCs w:val="20"/>
              </w:rPr>
              <w:t>Work with rotation coordinators for pediatrics and family medicine to provide a one week curriculum focused on:</w:t>
            </w:r>
          </w:p>
          <w:p w:rsidRPr="00217019" w:rsidR="004A24FE" w:rsidP="1027D862" w:rsidRDefault="004A24FE" w14:paraId="3E0DD192" w14:textId="60F38B68">
            <w:pPr>
              <w:pStyle w:val="Normal"/>
              <w:rPr>
                <w:rFonts w:ascii="Arial" w:hAnsi="Arial" w:cs="Arial"/>
                <w:b w:val="0"/>
                <w:bCs w:val="0"/>
                <w:sz w:val="20"/>
                <w:szCs w:val="20"/>
              </w:rPr>
            </w:pPr>
          </w:p>
          <w:p w:rsidRPr="00217019" w:rsidR="004A24FE" w:rsidP="1027D862" w:rsidRDefault="004A24FE" w14:paraId="252546EB" w14:textId="49D6E63C">
            <w:pPr>
              <w:pStyle w:val="ListParagraph"/>
              <w:numPr>
                <w:ilvl w:val="0"/>
                <w:numId w:val="3"/>
              </w:numPr>
              <w:rPr>
                <w:rFonts w:ascii="Arial" w:hAnsi="Arial" w:eastAsia="Arial" w:cs="Arial" w:asciiTheme="minorAscii" w:hAnsiTheme="minorAscii" w:eastAsiaTheme="minorAscii" w:cstheme="minorAscii"/>
                <w:b w:val="0"/>
                <w:bCs w:val="0"/>
                <w:sz w:val="20"/>
                <w:szCs w:val="20"/>
              </w:rPr>
            </w:pPr>
            <w:r w:rsidRPr="1027D862" w:rsidR="6BEBFB8E">
              <w:rPr>
                <w:rFonts w:ascii="Arial" w:hAnsi="Arial" w:cs="Arial"/>
                <w:b w:val="0"/>
                <w:bCs w:val="0"/>
                <w:sz w:val="20"/>
                <w:szCs w:val="20"/>
              </w:rPr>
              <w:t>Development</w:t>
            </w:r>
          </w:p>
          <w:p w:rsidRPr="00217019" w:rsidR="004A24FE" w:rsidP="1027D862" w:rsidRDefault="004A24FE" w14:paraId="5DF10DA7" w14:textId="078D7AB0">
            <w:pPr>
              <w:pStyle w:val="ListParagraph"/>
              <w:numPr>
                <w:ilvl w:val="0"/>
                <w:numId w:val="3"/>
              </w:numPr>
              <w:rPr>
                <w:b w:val="0"/>
                <w:bCs w:val="0"/>
                <w:sz w:val="20"/>
                <w:szCs w:val="20"/>
              </w:rPr>
            </w:pPr>
            <w:r w:rsidRPr="1027D862" w:rsidR="6BEBFB8E">
              <w:rPr>
                <w:rFonts w:ascii="Arial" w:hAnsi="Arial" w:cs="Arial"/>
                <w:b w:val="0"/>
                <w:bCs w:val="0"/>
                <w:sz w:val="20"/>
                <w:szCs w:val="20"/>
              </w:rPr>
              <w:t>Special health care needs</w:t>
            </w:r>
          </w:p>
          <w:p w:rsidRPr="00217019" w:rsidR="004A24FE" w:rsidP="1027D862" w:rsidRDefault="004A24FE" w14:paraId="5B391484" w14:textId="2B2DC948">
            <w:pPr>
              <w:pStyle w:val="ListParagraph"/>
              <w:numPr>
                <w:ilvl w:val="0"/>
                <w:numId w:val="3"/>
              </w:numPr>
              <w:rPr>
                <w:b w:val="0"/>
                <w:bCs w:val="0"/>
                <w:sz w:val="20"/>
                <w:szCs w:val="20"/>
              </w:rPr>
            </w:pPr>
            <w:r w:rsidRPr="1027D862" w:rsidR="6BEBFB8E">
              <w:rPr>
                <w:rFonts w:ascii="Arial" w:hAnsi="Arial" w:cs="Arial"/>
                <w:b w:val="0"/>
                <w:bCs w:val="0"/>
                <w:sz w:val="20"/>
                <w:szCs w:val="20"/>
              </w:rPr>
              <w:t>Disability services</w:t>
            </w:r>
          </w:p>
          <w:p w:rsidRPr="00217019" w:rsidR="004A24FE" w:rsidP="1027D862" w:rsidRDefault="004A24FE" w14:paraId="5F9ACB50" w14:textId="1764D449">
            <w:pPr>
              <w:pStyle w:val="Normal"/>
              <w:ind w:left="0"/>
              <w:rPr>
                <w:rFonts w:ascii="Arial" w:hAnsi="Arial" w:cs="Arial"/>
                <w:b w:val="0"/>
                <w:bCs w:val="0"/>
                <w:sz w:val="20"/>
                <w:szCs w:val="20"/>
              </w:rPr>
            </w:pPr>
          </w:p>
        </w:tc>
        <w:tc>
          <w:tcPr>
            <w:tcW w:w="3510" w:type="dxa"/>
            <w:tcMar/>
          </w:tcPr>
          <w:p w:rsidRPr="00217019" w:rsidR="004A24FE" w:rsidP="004A24FE" w:rsidRDefault="001D6F04" w14:paraId="5076A63C" w14:textId="7AE4FA09">
            <w:pPr>
              <w:rPr>
                <w:rFonts w:ascii="Arial" w:hAnsi="Arial" w:cs="Arial"/>
                <w:b/>
                <w:sz w:val="20"/>
                <w:szCs w:val="20"/>
              </w:rPr>
            </w:pPr>
            <w:r w:rsidRPr="00217019">
              <w:rPr>
                <w:rFonts w:ascii="Arial" w:hAnsi="Arial" w:cs="Arial"/>
                <w:sz w:val="20"/>
                <w:szCs w:val="20"/>
              </w:rPr>
              <w:t>A catalog of 37 one</w:t>
            </w:r>
            <w:r w:rsidR="00217019">
              <w:rPr>
                <w:rFonts w:ascii="Arial" w:hAnsi="Arial" w:cs="Arial"/>
                <w:sz w:val="20"/>
                <w:szCs w:val="20"/>
              </w:rPr>
              <w:t>-</w:t>
            </w:r>
            <w:r w:rsidRPr="00217019">
              <w:rPr>
                <w:rFonts w:ascii="Arial" w:hAnsi="Arial" w:cs="Arial"/>
                <w:sz w:val="20"/>
                <w:szCs w:val="20"/>
              </w:rPr>
              <w:t>hour offerings</w:t>
            </w:r>
            <w:r w:rsidRPr="00217019" w:rsidR="008104C5">
              <w:rPr>
                <w:rFonts w:ascii="Arial" w:hAnsi="Arial" w:cs="Arial"/>
                <w:sz w:val="20"/>
                <w:szCs w:val="20"/>
              </w:rPr>
              <w:t xml:space="preserve"> was developed and marketed. Course catalog is</w:t>
            </w:r>
            <w:r w:rsidRPr="00217019">
              <w:rPr>
                <w:rFonts w:ascii="Arial" w:hAnsi="Arial" w:cs="Arial"/>
                <w:sz w:val="20"/>
                <w:szCs w:val="20"/>
              </w:rPr>
              <w:t xml:space="preserve"> available at: </w:t>
            </w:r>
            <w:hyperlink w:history="1" r:id="rId8">
              <w:r w:rsidRPr="00217019">
                <w:rPr>
                  <w:rStyle w:val="Hyperlink"/>
                  <w:rFonts w:ascii="Arial" w:hAnsi="Arial" w:cs="Arial"/>
                  <w:sz w:val="20"/>
                  <w:szCs w:val="20"/>
                </w:rPr>
                <w:t>https://hdi.uky.edu/university-lecture-series</w:t>
              </w:r>
            </w:hyperlink>
            <w:r w:rsidRPr="00217019">
              <w:rPr>
                <w:rFonts w:ascii="Arial" w:hAnsi="Arial" w:cs="Arial"/>
                <w:sz w:val="20"/>
                <w:szCs w:val="20"/>
              </w:rPr>
              <w:t xml:space="preserve">  </w:t>
            </w:r>
            <w:r w:rsidRPr="00217019" w:rsidR="004A24FE">
              <w:rPr>
                <w:rFonts w:ascii="Arial" w:hAnsi="Arial" w:cs="Arial"/>
                <w:b/>
                <w:sz w:val="20"/>
                <w:szCs w:val="20"/>
              </w:rPr>
              <w:t xml:space="preserve">29 Lectures/rotations offered </w:t>
            </w:r>
          </w:p>
          <w:p w:rsidRPr="00217019" w:rsidR="004A24FE" w:rsidP="004A24FE" w:rsidRDefault="004A24FE" w14:paraId="72D43465" w14:textId="77777777">
            <w:pPr>
              <w:rPr>
                <w:rFonts w:ascii="Arial" w:hAnsi="Arial" w:cs="Arial"/>
                <w:b/>
                <w:sz w:val="20"/>
                <w:szCs w:val="20"/>
              </w:rPr>
            </w:pPr>
            <w:r w:rsidRPr="00217019">
              <w:rPr>
                <w:rFonts w:ascii="Arial" w:hAnsi="Arial" w:cs="Arial"/>
                <w:b/>
                <w:sz w:val="20"/>
                <w:szCs w:val="20"/>
              </w:rPr>
              <w:t>As part of HDI University Lecture series and Medical Resident Rotation with HDI</w:t>
            </w:r>
          </w:p>
          <w:p w:rsidRPr="00217019" w:rsidR="004A24FE" w:rsidP="004A24FE" w:rsidRDefault="004A24FE" w14:paraId="51EAF669"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Disability Resources in KY</w:t>
            </w:r>
          </w:p>
          <w:p w:rsidRPr="00217019" w:rsidR="004A24FE" w:rsidP="004A24FE" w:rsidRDefault="004A24FE" w14:paraId="3DFBED64"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Disability Awareness Training Ableism</w:t>
            </w:r>
          </w:p>
          <w:p w:rsidRPr="00217019" w:rsidR="004A24FE" w:rsidP="004A24FE" w:rsidRDefault="004A24FE" w14:paraId="04CEE79A"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Early Childhood Transitions</w:t>
            </w:r>
          </w:p>
          <w:p w:rsidRPr="00217019" w:rsidR="004A24FE" w:rsidP="004A24FE" w:rsidRDefault="004A24FE" w14:paraId="1097C35C" w14:textId="0D0544C3">
            <w:pPr>
              <w:pStyle w:val="ListParagraph"/>
              <w:numPr>
                <w:ilvl w:val="0"/>
                <w:numId w:val="2"/>
              </w:numPr>
              <w:ind w:left="330" w:hanging="180"/>
              <w:rPr>
                <w:rFonts w:ascii="Arial" w:hAnsi="Arial" w:cs="Arial"/>
                <w:sz w:val="20"/>
                <w:szCs w:val="20"/>
              </w:rPr>
            </w:pPr>
            <w:r w:rsidRPr="00217019">
              <w:rPr>
                <w:rFonts w:ascii="Arial" w:hAnsi="Arial" w:cs="Arial"/>
                <w:sz w:val="20"/>
                <w:szCs w:val="20"/>
              </w:rPr>
              <w:t>Early Childhood Assessment Inst</w:t>
            </w:r>
            <w:r w:rsidRPr="00217019" w:rsidR="00376305">
              <w:rPr>
                <w:rFonts w:ascii="Arial" w:hAnsi="Arial" w:cs="Arial"/>
                <w:sz w:val="20"/>
                <w:szCs w:val="20"/>
              </w:rPr>
              <w:t>r</w:t>
            </w:r>
            <w:r w:rsidRPr="00217019">
              <w:rPr>
                <w:rFonts w:ascii="Arial" w:hAnsi="Arial" w:cs="Arial"/>
                <w:sz w:val="20"/>
                <w:szCs w:val="20"/>
              </w:rPr>
              <w:t>uments</w:t>
            </w:r>
          </w:p>
          <w:p w:rsidRPr="00217019" w:rsidR="004A24FE" w:rsidP="004A24FE" w:rsidRDefault="004A24FE" w14:paraId="292E4DAE"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Getting Comfortable with Disability</w:t>
            </w:r>
          </w:p>
          <w:p w:rsidRPr="00217019" w:rsidR="004A24FE" w:rsidP="004A24FE" w:rsidRDefault="004A24FE" w14:paraId="7066DAF5"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lastRenderedPageBreak/>
              <w:t>Assistive Technology</w:t>
            </w:r>
          </w:p>
          <w:p w:rsidRPr="00217019" w:rsidR="004A24FE" w:rsidP="004A24FE" w:rsidRDefault="004A24FE" w14:paraId="34EAE589"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Sexuality and Disability</w:t>
            </w:r>
          </w:p>
          <w:p w:rsidRPr="00217019" w:rsidR="004A24FE" w:rsidP="004A24FE" w:rsidRDefault="004A24FE" w14:paraId="32748E6A"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Community Engagement</w:t>
            </w:r>
          </w:p>
          <w:p w:rsidRPr="00217019" w:rsidR="004A24FE" w:rsidP="004A24FE" w:rsidRDefault="004A24FE" w14:paraId="3C884396"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Road map for Inclusion</w:t>
            </w:r>
          </w:p>
          <w:p w:rsidRPr="00217019" w:rsidR="004A24FE" w:rsidP="004A24FE" w:rsidRDefault="004A24FE" w14:paraId="5295AB7B"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HDI Research and Educational Opportunities for UK Students</w:t>
            </w:r>
          </w:p>
          <w:p w:rsidRPr="00217019" w:rsidR="004A24FE" w:rsidP="004A24FE" w:rsidRDefault="004A24FE" w14:paraId="52E06D4B"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Rural Rehabilitation and Access to Health Care</w:t>
            </w:r>
          </w:p>
          <w:p w:rsidRPr="00217019" w:rsidR="004A24FE" w:rsidP="004A24FE" w:rsidRDefault="004A24FE" w14:paraId="06CDA766"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Allyship</w:t>
            </w:r>
          </w:p>
          <w:p w:rsidRPr="00217019" w:rsidR="004A24FE" w:rsidP="004A24FE" w:rsidRDefault="004A24FE" w14:paraId="1A9B9CAB"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Universal Design</w:t>
            </w:r>
          </w:p>
          <w:p w:rsidRPr="00217019" w:rsidR="004A24FE" w:rsidP="004A24FE" w:rsidRDefault="004A24FE" w14:paraId="5ED610D4"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Universal Design and Social Stories</w:t>
            </w:r>
          </w:p>
          <w:p w:rsidRPr="00217019" w:rsidR="004A24FE" w:rsidP="004A24FE" w:rsidRDefault="004A24FE" w14:paraId="55508482"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Parenting a Child with a Disability</w:t>
            </w:r>
          </w:p>
          <w:p w:rsidRPr="00217019" w:rsidR="004A24FE" w:rsidP="004A24FE" w:rsidRDefault="004A24FE" w14:paraId="0CF853DC" w14:textId="77777777">
            <w:pPr>
              <w:pStyle w:val="ListParagraph"/>
              <w:numPr>
                <w:ilvl w:val="0"/>
                <w:numId w:val="2"/>
              </w:numPr>
              <w:ind w:left="330" w:hanging="180"/>
              <w:rPr>
                <w:rFonts w:ascii="Arial" w:hAnsi="Arial" w:cs="Arial"/>
                <w:sz w:val="20"/>
                <w:szCs w:val="20"/>
              </w:rPr>
            </w:pPr>
            <w:r w:rsidRPr="00217019">
              <w:rPr>
                <w:rFonts w:ascii="Arial" w:hAnsi="Arial" w:cs="Arial"/>
                <w:sz w:val="20"/>
                <w:szCs w:val="20"/>
              </w:rPr>
              <w:t>Universal Design and Including People with Disabilities in Education</w:t>
            </w:r>
          </w:p>
          <w:p w:rsidRPr="00217019" w:rsidR="004A24FE" w:rsidP="004A24FE" w:rsidRDefault="004A24FE" w14:paraId="2DB5D03A" w14:textId="77777777">
            <w:pPr>
              <w:rPr>
                <w:rFonts w:ascii="Arial" w:hAnsi="Arial" w:cs="Arial"/>
                <w:b/>
                <w:sz w:val="20"/>
                <w:szCs w:val="20"/>
              </w:rPr>
            </w:pPr>
          </w:p>
        </w:tc>
        <w:tc>
          <w:tcPr>
            <w:tcW w:w="2530" w:type="dxa"/>
            <w:tcMar/>
          </w:tcPr>
          <w:p w:rsidRPr="00217019" w:rsidR="004A24FE" w:rsidP="552CE43B" w:rsidRDefault="004A24FE" w14:paraId="2B87698F" w14:textId="3367C285">
            <w:pPr>
              <w:pStyle w:val="Normal"/>
              <w:ind w:left="0"/>
              <w:rPr>
                <w:rFonts w:ascii="Arial" w:hAnsi="Arial" w:cs="Arial"/>
                <w:b w:val="0"/>
                <w:bCs w:val="0"/>
                <w:sz w:val="20"/>
                <w:szCs w:val="20"/>
              </w:rPr>
            </w:pPr>
            <w:r w:rsidRPr="552CE43B" w:rsidR="4C1DB68B">
              <w:rPr>
                <w:rFonts w:ascii="Arial" w:hAnsi="Arial" w:cs="Arial"/>
                <w:b w:val="0"/>
                <w:bCs w:val="0"/>
                <w:sz w:val="20"/>
                <w:szCs w:val="20"/>
              </w:rPr>
              <w:t xml:space="preserve">Learners </w:t>
            </w:r>
            <w:r w:rsidRPr="552CE43B" w:rsidR="15D13179">
              <w:rPr>
                <w:rFonts w:ascii="Arial" w:hAnsi="Arial" w:cs="Arial"/>
                <w:b w:val="0"/>
                <w:bCs w:val="0"/>
                <w:sz w:val="20"/>
                <w:szCs w:val="20"/>
              </w:rPr>
              <w:t>receive information on etiquette, Person First, and other materials prior to simulation through on-line module</w:t>
            </w:r>
          </w:p>
          <w:p w:rsidRPr="00217019" w:rsidR="004A24FE" w:rsidP="552CE43B" w:rsidRDefault="004A24FE" w14:paraId="5AF62B7E" w14:textId="61628607">
            <w:pPr>
              <w:pStyle w:val="Normal"/>
              <w:ind w:left="0"/>
              <w:rPr>
                <w:rFonts w:ascii="Arial" w:hAnsi="Arial" w:cs="Arial"/>
                <w:b w:val="0"/>
                <w:bCs w:val="0"/>
                <w:sz w:val="20"/>
                <w:szCs w:val="20"/>
              </w:rPr>
            </w:pPr>
          </w:p>
          <w:p w:rsidRPr="00217019" w:rsidR="004A24FE" w:rsidP="552CE43B" w:rsidRDefault="004A24FE" w14:paraId="6346C6DC" w14:textId="14EC0404">
            <w:pPr>
              <w:pStyle w:val="Normal"/>
              <w:ind w:left="0"/>
              <w:rPr>
                <w:rFonts w:ascii="Arial" w:hAnsi="Arial" w:cs="Arial"/>
                <w:b w:val="0"/>
                <w:bCs w:val="0"/>
                <w:sz w:val="20"/>
                <w:szCs w:val="20"/>
              </w:rPr>
            </w:pPr>
            <w:r w:rsidRPr="552CE43B" w:rsidR="15D13179">
              <w:rPr>
                <w:rFonts w:ascii="Arial" w:hAnsi="Arial" w:cs="Arial"/>
                <w:b w:val="0"/>
                <w:bCs w:val="0"/>
                <w:sz w:val="20"/>
                <w:szCs w:val="20"/>
              </w:rPr>
              <w:t xml:space="preserve">Learners are randomized to receive information from the following activities in a different order: panel member discussion, </w:t>
            </w:r>
            <w:r w:rsidRPr="552CE43B" w:rsidR="2CC57B61">
              <w:rPr>
                <w:rFonts w:ascii="Arial" w:hAnsi="Arial" w:cs="Arial"/>
                <w:b w:val="0"/>
                <w:bCs w:val="0"/>
                <w:sz w:val="20"/>
                <w:szCs w:val="20"/>
              </w:rPr>
              <w:t xml:space="preserve">and </w:t>
            </w:r>
            <w:r w:rsidRPr="552CE43B" w:rsidR="15D13179">
              <w:rPr>
                <w:rFonts w:ascii="Arial" w:hAnsi="Arial" w:cs="Arial"/>
                <w:b w:val="0"/>
                <w:bCs w:val="0"/>
                <w:sz w:val="20"/>
                <w:szCs w:val="20"/>
              </w:rPr>
              <w:t>3 case scenarios with patient actors</w:t>
            </w:r>
          </w:p>
          <w:p w:rsidRPr="00217019" w:rsidR="004A24FE" w:rsidP="552CE43B" w:rsidRDefault="004A24FE" w14:paraId="215199F3" w14:textId="01125534">
            <w:pPr>
              <w:pStyle w:val="Normal"/>
              <w:ind w:left="0"/>
              <w:rPr>
                <w:rFonts w:ascii="Arial" w:hAnsi="Arial" w:cs="Arial"/>
                <w:b w:val="0"/>
                <w:bCs w:val="0"/>
                <w:sz w:val="20"/>
                <w:szCs w:val="20"/>
              </w:rPr>
            </w:pPr>
          </w:p>
          <w:p w:rsidRPr="00217019" w:rsidR="004A24FE" w:rsidP="552CE43B" w:rsidRDefault="004A24FE" w14:paraId="3302087A" w14:textId="41D01CCF">
            <w:pPr>
              <w:pStyle w:val="Normal"/>
              <w:ind w:left="0"/>
              <w:rPr>
                <w:rFonts w:ascii="Arial" w:hAnsi="Arial" w:cs="Arial"/>
                <w:b w:val="0"/>
                <w:bCs w:val="0"/>
                <w:sz w:val="20"/>
                <w:szCs w:val="20"/>
              </w:rPr>
            </w:pPr>
            <w:r w:rsidRPr="552CE43B" w:rsidR="2F707199">
              <w:rPr>
                <w:rFonts w:ascii="Arial" w:hAnsi="Arial" w:cs="Arial"/>
                <w:b w:val="0"/>
                <w:bCs w:val="0"/>
                <w:sz w:val="20"/>
                <w:szCs w:val="20"/>
              </w:rPr>
              <w:t>Group discussion closed the session to review interactions, next steps, and overall considerations</w:t>
            </w:r>
          </w:p>
        </w:tc>
        <w:tc>
          <w:tcPr>
            <w:tcW w:w="2790" w:type="dxa"/>
            <w:tcMar/>
          </w:tcPr>
          <w:p w:rsidRPr="00217019" w:rsidR="004A24FE" w:rsidP="552CE43B" w:rsidRDefault="004A24FE" w14:paraId="22E66DC9" w14:textId="7D8D9A60">
            <w:pPr>
              <w:rPr>
                <w:rFonts w:ascii="Arial" w:hAnsi="Arial" w:cs="Arial"/>
                <w:b w:val="1"/>
                <w:bCs w:val="1"/>
                <w:sz w:val="20"/>
                <w:szCs w:val="20"/>
              </w:rPr>
            </w:pPr>
            <w:r w:rsidRPr="552CE43B" w:rsidR="2F707199">
              <w:rPr>
                <w:rFonts w:ascii="Arial" w:hAnsi="Arial" w:cs="Arial"/>
                <w:b w:val="0"/>
                <w:bCs w:val="0"/>
                <w:sz w:val="20"/>
                <w:szCs w:val="20"/>
              </w:rPr>
              <w:t>Faculty and parent mentors were identified for each session scheduled</w:t>
            </w:r>
          </w:p>
          <w:p w:rsidRPr="00217019" w:rsidR="004A24FE" w:rsidP="552CE43B" w:rsidRDefault="004A24FE" w14:paraId="5FF5B13E" w14:textId="5FA13A11">
            <w:pPr>
              <w:pStyle w:val="Normal"/>
              <w:rPr>
                <w:rFonts w:ascii="Arial" w:hAnsi="Arial" w:cs="Arial"/>
                <w:b w:val="0"/>
                <w:bCs w:val="0"/>
                <w:sz w:val="20"/>
                <w:szCs w:val="20"/>
              </w:rPr>
            </w:pPr>
          </w:p>
          <w:p w:rsidRPr="00217019" w:rsidR="004A24FE" w:rsidP="552CE43B" w:rsidRDefault="004A24FE" w14:paraId="11132CC3" w14:textId="2ACBDEC0">
            <w:pPr>
              <w:pStyle w:val="Normal"/>
              <w:rPr>
                <w:rFonts w:ascii="Arial" w:hAnsi="Arial" w:cs="Arial"/>
                <w:b w:val="0"/>
                <w:bCs w:val="0"/>
                <w:sz w:val="20"/>
                <w:szCs w:val="20"/>
              </w:rPr>
            </w:pPr>
            <w:r w:rsidRPr="552CE43B" w:rsidR="2F707199">
              <w:rPr>
                <w:rFonts w:ascii="Arial" w:hAnsi="Arial" w:cs="Arial"/>
                <w:b w:val="0"/>
                <w:bCs w:val="0"/>
                <w:sz w:val="20"/>
                <w:szCs w:val="20"/>
              </w:rPr>
              <w:t>Learners receive information on patient-centered medical home model and person first language by on-line module</w:t>
            </w:r>
          </w:p>
          <w:p w:rsidRPr="00217019" w:rsidR="004A24FE" w:rsidP="552CE43B" w:rsidRDefault="004A24FE" w14:paraId="256B27DF" w14:textId="38E27894">
            <w:pPr>
              <w:pStyle w:val="Normal"/>
              <w:rPr>
                <w:rFonts w:ascii="Arial" w:hAnsi="Arial" w:cs="Arial"/>
                <w:b w:val="0"/>
                <w:bCs w:val="0"/>
                <w:sz w:val="20"/>
                <w:szCs w:val="20"/>
              </w:rPr>
            </w:pPr>
          </w:p>
          <w:p w:rsidRPr="00217019" w:rsidR="004A24FE" w:rsidP="552CE43B" w:rsidRDefault="004A24FE" w14:paraId="268CA1CF" w14:textId="40BEEBE9">
            <w:pPr>
              <w:pStyle w:val="Normal"/>
              <w:rPr>
                <w:rFonts w:ascii="Arial" w:hAnsi="Arial" w:cs="Arial"/>
                <w:b w:val="0"/>
                <w:bCs w:val="0"/>
                <w:sz w:val="20"/>
                <w:szCs w:val="20"/>
              </w:rPr>
            </w:pPr>
            <w:r w:rsidRPr="552CE43B" w:rsidR="2F707199">
              <w:rPr>
                <w:rFonts w:ascii="Arial" w:hAnsi="Arial" w:cs="Arial"/>
                <w:b w:val="0"/>
                <w:bCs w:val="0"/>
                <w:sz w:val="20"/>
                <w:szCs w:val="20"/>
              </w:rPr>
              <w:t>Baseline assessments completed prior to simulation</w:t>
            </w:r>
          </w:p>
          <w:p w:rsidRPr="00217019" w:rsidR="004A24FE" w:rsidP="552CE43B" w:rsidRDefault="004A24FE" w14:paraId="3C6A9F3D" w14:textId="4494302F">
            <w:pPr>
              <w:pStyle w:val="Normal"/>
              <w:rPr>
                <w:rFonts w:ascii="Arial" w:hAnsi="Arial" w:cs="Arial"/>
                <w:b w:val="0"/>
                <w:bCs w:val="0"/>
                <w:sz w:val="20"/>
                <w:szCs w:val="20"/>
              </w:rPr>
            </w:pPr>
          </w:p>
          <w:p w:rsidRPr="00217019" w:rsidR="004A24FE" w:rsidP="552CE43B" w:rsidRDefault="004A24FE" w14:paraId="0700FD98" w14:textId="285CDC6E">
            <w:pPr>
              <w:pStyle w:val="Normal"/>
              <w:rPr>
                <w:rFonts w:ascii="Arial" w:hAnsi="Arial" w:cs="Arial"/>
                <w:b w:val="0"/>
                <w:bCs w:val="0"/>
                <w:sz w:val="20"/>
                <w:szCs w:val="20"/>
              </w:rPr>
            </w:pPr>
            <w:r w:rsidRPr="552CE43B" w:rsidR="2F707199">
              <w:rPr>
                <w:rFonts w:ascii="Arial" w:hAnsi="Arial" w:cs="Arial"/>
                <w:b w:val="0"/>
                <w:bCs w:val="0"/>
                <w:sz w:val="20"/>
                <w:szCs w:val="20"/>
              </w:rPr>
              <w:t>Video showcasing families with children with special health care needs shown at the beginning of the simulation</w:t>
            </w:r>
          </w:p>
          <w:p w:rsidRPr="00217019" w:rsidR="004A24FE" w:rsidP="552CE43B" w:rsidRDefault="004A24FE" w14:paraId="780D0216" w14:textId="3811F15B">
            <w:pPr>
              <w:pStyle w:val="Normal"/>
              <w:rPr>
                <w:rFonts w:ascii="Arial" w:hAnsi="Arial" w:cs="Arial"/>
                <w:b w:val="0"/>
                <w:bCs w:val="0"/>
                <w:sz w:val="20"/>
                <w:szCs w:val="20"/>
              </w:rPr>
            </w:pPr>
          </w:p>
          <w:p w:rsidRPr="00217019" w:rsidR="004A24FE" w:rsidP="552CE43B" w:rsidRDefault="004A24FE" w14:paraId="1BC9987E" w14:textId="048C23C6">
            <w:pPr>
              <w:pStyle w:val="Normal"/>
              <w:rPr>
                <w:rFonts w:ascii="Arial" w:hAnsi="Arial" w:cs="Arial"/>
                <w:b w:val="0"/>
                <w:bCs w:val="0"/>
                <w:sz w:val="20"/>
                <w:szCs w:val="20"/>
              </w:rPr>
            </w:pPr>
            <w:r w:rsidRPr="552CE43B" w:rsidR="2F707199">
              <w:rPr>
                <w:rFonts w:ascii="Arial" w:hAnsi="Arial" w:cs="Arial"/>
                <w:b w:val="0"/>
                <w:bCs w:val="0"/>
                <w:sz w:val="20"/>
                <w:szCs w:val="20"/>
              </w:rPr>
              <w:t>Learners randomized to three breakout rooms to meet and ask questions of parent mentors</w:t>
            </w:r>
          </w:p>
          <w:p w:rsidRPr="00217019" w:rsidR="004A24FE" w:rsidP="552CE43B" w:rsidRDefault="004A24FE" w14:paraId="65306B8F" w14:textId="7D19E54B">
            <w:pPr>
              <w:pStyle w:val="Normal"/>
              <w:rPr>
                <w:rFonts w:ascii="Arial" w:hAnsi="Arial" w:cs="Arial"/>
                <w:b w:val="0"/>
                <w:bCs w:val="0"/>
                <w:sz w:val="20"/>
                <w:szCs w:val="20"/>
              </w:rPr>
            </w:pPr>
          </w:p>
          <w:p w:rsidRPr="00217019" w:rsidR="004A24FE" w:rsidP="552CE43B" w:rsidRDefault="004A24FE" w14:paraId="700C0E21" w14:textId="0C80232F">
            <w:pPr>
              <w:pStyle w:val="Normal"/>
              <w:rPr>
                <w:rFonts w:ascii="Arial" w:hAnsi="Arial" w:cs="Arial"/>
                <w:b w:val="0"/>
                <w:bCs w:val="0"/>
                <w:sz w:val="20"/>
                <w:szCs w:val="20"/>
              </w:rPr>
            </w:pPr>
            <w:r w:rsidRPr="552CE43B" w:rsidR="2F707199">
              <w:rPr>
                <w:rFonts w:ascii="Arial" w:hAnsi="Arial" w:cs="Arial"/>
                <w:b w:val="0"/>
                <w:bCs w:val="0"/>
                <w:sz w:val="20"/>
                <w:szCs w:val="20"/>
              </w:rPr>
              <w:t>Group discussion reviewed standard elements of patient-centered medical home</w:t>
            </w:r>
          </w:p>
        </w:tc>
      </w:tr>
      <w:tr w:rsidR="00217019" w:rsidTr="1027D862" w14:paraId="3A34B99A" w14:textId="77777777">
        <w:tc>
          <w:tcPr>
            <w:tcW w:w="1938" w:type="dxa"/>
            <w:tcMar/>
          </w:tcPr>
          <w:p w:rsidRPr="00217019" w:rsidR="004A24FE" w:rsidP="004A24FE" w:rsidRDefault="004A24FE" w14:paraId="68F3B858" w14:textId="77777777">
            <w:pPr>
              <w:rPr>
                <w:rFonts w:ascii="Arial" w:hAnsi="Arial" w:cs="Arial"/>
                <w:b/>
                <w:bCs/>
                <w:sz w:val="20"/>
                <w:szCs w:val="20"/>
              </w:rPr>
            </w:pPr>
            <w:r w:rsidRPr="00217019">
              <w:rPr>
                <w:rFonts w:ascii="Arial" w:hAnsi="Arial" w:cs="Arial"/>
                <w:b/>
                <w:bCs/>
                <w:sz w:val="20"/>
                <w:szCs w:val="20"/>
              </w:rPr>
              <w:t>Setting</w:t>
            </w:r>
          </w:p>
        </w:tc>
        <w:tc>
          <w:tcPr>
            <w:tcW w:w="2742" w:type="dxa"/>
            <w:tcMar/>
          </w:tcPr>
          <w:p w:rsidRPr="00217019" w:rsidR="004A24FE" w:rsidP="004A24FE" w:rsidRDefault="004A24FE" w14:paraId="68F3F104" w14:textId="5A6D27EA">
            <w:pPr>
              <w:rPr>
                <w:rFonts w:ascii="Arial" w:hAnsi="Arial" w:cs="Arial"/>
                <w:b w:val="1"/>
                <w:bCs w:val="1"/>
                <w:sz w:val="20"/>
                <w:szCs w:val="20"/>
              </w:rPr>
            </w:pPr>
            <w:r w:rsidRPr="1027D862" w:rsidR="5F35E4E1">
              <w:rPr>
                <w:rFonts w:ascii="Arial" w:hAnsi="Arial" w:cs="Arial"/>
                <w:b w:val="0"/>
                <w:bCs w:val="0"/>
                <w:sz w:val="20"/>
                <w:szCs w:val="20"/>
              </w:rPr>
              <w:t>Classroom</w:t>
            </w:r>
          </w:p>
        </w:tc>
        <w:tc>
          <w:tcPr>
            <w:tcW w:w="3510" w:type="dxa"/>
            <w:tcMar/>
          </w:tcPr>
          <w:p w:rsidRPr="00217019" w:rsidR="004A24FE" w:rsidP="004A24FE" w:rsidRDefault="004A24FE" w14:paraId="7172199D" w14:textId="77777777">
            <w:pPr>
              <w:rPr>
                <w:rFonts w:ascii="Arial" w:hAnsi="Arial" w:cs="Arial"/>
                <w:sz w:val="20"/>
                <w:szCs w:val="20"/>
              </w:rPr>
            </w:pPr>
            <w:r w:rsidRPr="00217019">
              <w:rPr>
                <w:rFonts w:ascii="Arial" w:hAnsi="Arial" w:cs="Arial"/>
                <w:sz w:val="20"/>
                <w:szCs w:val="20"/>
              </w:rPr>
              <w:t>University and Child Development Center of the Bluegrass</w:t>
            </w:r>
          </w:p>
        </w:tc>
        <w:tc>
          <w:tcPr>
            <w:tcW w:w="2530" w:type="dxa"/>
            <w:tcMar/>
          </w:tcPr>
          <w:p w:rsidRPr="00217019" w:rsidR="004A24FE" w:rsidP="004A24FE" w:rsidRDefault="004A24FE" w14:paraId="414DA335" w14:textId="77777777">
            <w:pPr>
              <w:rPr>
                <w:rFonts w:ascii="Arial" w:hAnsi="Arial" w:cs="Arial"/>
                <w:sz w:val="20"/>
                <w:szCs w:val="20"/>
              </w:rPr>
            </w:pPr>
          </w:p>
        </w:tc>
        <w:tc>
          <w:tcPr>
            <w:tcW w:w="2790" w:type="dxa"/>
            <w:tcMar/>
          </w:tcPr>
          <w:p w:rsidRPr="00217019" w:rsidR="004A24FE" w:rsidP="004A24FE" w:rsidRDefault="004A24FE" w14:paraId="5A7AF5CE" w14:textId="3A35AF81">
            <w:pPr>
              <w:rPr>
                <w:rFonts w:ascii="Arial" w:hAnsi="Arial" w:cs="Arial"/>
                <w:sz w:val="20"/>
                <w:szCs w:val="20"/>
              </w:rPr>
            </w:pPr>
            <w:r w:rsidRPr="552CE43B" w:rsidR="2904F4AE">
              <w:rPr>
                <w:rFonts w:ascii="Arial" w:hAnsi="Arial" w:cs="Arial"/>
                <w:sz w:val="20"/>
                <w:szCs w:val="20"/>
              </w:rPr>
              <w:t>WV Steps Center and WVCED</w:t>
            </w:r>
          </w:p>
        </w:tc>
      </w:tr>
      <w:tr w:rsidR="00217019" w:rsidTr="1027D862" w14:paraId="77E863E0" w14:textId="77777777">
        <w:tc>
          <w:tcPr>
            <w:tcW w:w="1938" w:type="dxa"/>
            <w:tcMar/>
          </w:tcPr>
          <w:p w:rsidRPr="00217019" w:rsidR="004A24FE" w:rsidP="004A24FE" w:rsidRDefault="004A24FE" w14:paraId="13C113A7" w14:textId="77777777">
            <w:pPr>
              <w:rPr>
                <w:rFonts w:ascii="Arial" w:hAnsi="Arial" w:cs="Arial"/>
                <w:b/>
                <w:bCs/>
                <w:sz w:val="20"/>
                <w:szCs w:val="20"/>
              </w:rPr>
            </w:pPr>
            <w:r w:rsidRPr="00217019">
              <w:rPr>
                <w:rFonts w:ascii="Arial" w:hAnsi="Arial" w:cs="Arial"/>
                <w:b/>
                <w:bCs/>
                <w:sz w:val="20"/>
                <w:szCs w:val="20"/>
              </w:rPr>
              <w:t>Delivery approach</w:t>
            </w:r>
          </w:p>
        </w:tc>
        <w:tc>
          <w:tcPr>
            <w:tcW w:w="2742" w:type="dxa"/>
            <w:tcMar/>
          </w:tcPr>
          <w:p w:rsidRPr="00217019" w:rsidR="004A24FE" w:rsidP="004A24FE" w:rsidRDefault="004A24FE" w14:paraId="711BA4D0" w14:textId="5DCE311B">
            <w:pPr>
              <w:rPr>
                <w:rFonts w:ascii="Arial" w:hAnsi="Arial" w:cs="Arial"/>
                <w:b w:val="1"/>
                <w:bCs w:val="1"/>
                <w:sz w:val="20"/>
                <w:szCs w:val="20"/>
              </w:rPr>
            </w:pPr>
            <w:r w:rsidRPr="1027D862" w:rsidR="7CF76B2D">
              <w:rPr>
                <w:rFonts w:ascii="Arial" w:hAnsi="Arial" w:cs="Arial"/>
                <w:b w:val="0"/>
                <w:bCs w:val="0"/>
                <w:sz w:val="20"/>
                <w:szCs w:val="20"/>
              </w:rPr>
              <w:t>F2F</w:t>
            </w:r>
          </w:p>
        </w:tc>
        <w:tc>
          <w:tcPr>
            <w:tcW w:w="3510" w:type="dxa"/>
            <w:tcMar/>
          </w:tcPr>
          <w:p w:rsidRPr="00217019" w:rsidR="004A24FE" w:rsidP="004A24FE" w:rsidRDefault="004A24FE" w14:paraId="4C8EB3C7" w14:textId="77777777">
            <w:pPr>
              <w:rPr>
                <w:rFonts w:ascii="Arial" w:hAnsi="Arial" w:cs="Arial"/>
                <w:sz w:val="20"/>
                <w:szCs w:val="20"/>
              </w:rPr>
            </w:pPr>
            <w:r w:rsidRPr="00217019">
              <w:rPr>
                <w:rFonts w:ascii="Arial" w:hAnsi="Arial" w:cs="Arial"/>
                <w:sz w:val="20"/>
                <w:szCs w:val="20"/>
              </w:rPr>
              <w:t>F2F and virtually</w:t>
            </w:r>
          </w:p>
        </w:tc>
        <w:tc>
          <w:tcPr>
            <w:tcW w:w="2530" w:type="dxa"/>
            <w:tcMar/>
          </w:tcPr>
          <w:p w:rsidRPr="00217019" w:rsidR="004A24FE" w:rsidP="004A24FE" w:rsidRDefault="004A24FE" w14:paraId="1993A8A5" w14:textId="77777777">
            <w:pPr>
              <w:rPr>
                <w:rFonts w:ascii="Arial" w:hAnsi="Arial" w:cs="Arial"/>
                <w:sz w:val="20"/>
                <w:szCs w:val="20"/>
              </w:rPr>
            </w:pPr>
          </w:p>
        </w:tc>
        <w:tc>
          <w:tcPr>
            <w:tcW w:w="2790" w:type="dxa"/>
            <w:tcMar/>
          </w:tcPr>
          <w:p w:rsidRPr="00217019" w:rsidR="004A24FE" w:rsidP="004A24FE" w:rsidRDefault="004A24FE" w14:paraId="50B98321" w14:textId="61CBE9ED">
            <w:pPr>
              <w:rPr>
                <w:rFonts w:ascii="Arial" w:hAnsi="Arial" w:cs="Arial"/>
                <w:sz w:val="20"/>
                <w:szCs w:val="20"/>
              </w:rPr>
            </w:pPr>
            <w:r w:rsidRPr="552CE43B" w:rsidR="55617130">
              <w:rPr>
                <w:rFonts w:ascii="Arial" w:hAnsi="Arial" w:cs="Arial"/>
                <w:sz w:val="20"/>
                <w:szCs w:val="20"/>
              </w:rPr>
              <w:t>F2F and virtually</w:t>
            </w:r>
          </w:p>
        </w:tc>
      </w:tr>
    </w:tbl>
    <w:p w:rsidR="00B04058" w:rsidP="00B04058" w:rsidRDefault="00B04058" w14:paraId="294C6EE1" w14:textId="77777777">
      <w:pPr>
        <w:rPr>
          <w:b/>
        </w:rPr>
      </w:pPr>
    </w:p>
    <w:p w:rsidR="00217019" w:rsidP="00B04058" w:rsidRDefault="00217019" w14:paraId="151C962F" w14:textId="77777777">
      <w:pPr>
        <w:rPr>
          <w:b/>
        </w:rPr>
        <w:sectPr w:rsidR="00217019" w:rsidSect="00217019">
          <w:pgSz w:w="15840" w:h="12240" w:orient="landscape"/>
          <w:pgMar w:top="1440" w:right="1440" w:bottom="1440" w:left="1440" w:header="720" w:footer="720" w:gutter="0"/>
          <w:cols w:space="720"/>
          <w:docGrid w:linePitch="360"/>
        </w:sectPr>
      </w:pPr>
    </w:p>
    <w:p w:rsidRPr="00B04058" w:rsidR="00B04058" w:rsidP="00B04058" w:rsidRDefault="00B04058" w14:paraId="30087234" w14:textId="42AA2A11">
      <w:pPr>
        <w:rPr>
          <w:b/>
        </w:rPr>
      </w:pPr>
      <w:r w:rsidRPr="00B04058">
        <w:rPr>
          <w:b/>
        </w:rPr>
        <w:lastRenderedPageBreak/>
        <w:t>Results:</w:t>
      </w:r>
    </w:p>
    <w:p w:rsidR="00B04058" w:rsidP="00B04058" w:rsidRDefault="00B04058" w14:paraId="4F11F6C1" w14:textId="77777777">
      <w:pPr>
        <w:rPr>
          <w:b/>
          <w:i/>
        </w:rPr>
      </w:pPr>
    </w:p>
    <w:tbl>
      <w:tblPr>
        <w:tblStyle w:val="TableGrid"/>
        <w:tblW w:w="8930" w:type="dxa"/>
        <w:tblInd w:w="-365" w:type="dxa"/>
        <w:tblLook w:val="04A0" w:firstRow="1" w:lastRow="0" w:firstColumn="1" w:lastColumn="0" w:noHBand="0" w:noVBand="1"/>
      </w:tblPr>
      <w:tblGrid>
        <w:gridCol w:w="1874"/>
        <w:gridCol w:w="1716"/>
        <w:gridCol w:w="2145"/>
        <w:gridCol w:w="1725"/>
        <w:gridCol w:w="1470"/>
      </w:tblGrid>
      <w:tr w:rsidRPr="00B04058" w:rsidR="00B04058" w:rsidTr="1027D862" w14:paraId="65118748" w14:textId="77777777">
        <w:tc>
          <w:tcPr>
            <w:tcW w:w="1874" w:type="dxa"/>
            <w:tcMar/>
          </w:tcPr>
          <w:p w:rsidRPr="00B04058" w:rsidR="00B04058" w:rsidP="000F0077" w:rsidRDefault="00B04058" w14:paraId="7F3416FC" w14:textId="77777777">
            <w:pPr>
              <w:jc w:val="center"/>
              <w:rPr>
                <w:b/>
                <w:i/>
              </w:rPr>
            </w:pPr>
          </w:p>
        </w:tc>
        <w:tc>
          <w:tcPr>
            <w:tcW w:w="1716" w:type="dxa"/>
            <w:tcMar/>
          </w:tcPr>
          <w:p w:rsidRPr="00B04058" w:rsidR="00B04058" w:rsidP="000F0077" w:rsidRDefault="00B04058" w14:paraId="0C62CFB0" w14:textId="77777777">
            <w:pPr>
              <w:jc w:val="center"/>
              <w:rPr>
                <w:b/>
                <w:i/>
              </w:rPr>
            </w:pPr>
            <w:r w:rsidRPr="00B04058">
              <w:rPr>
                <w:b/>
                <w:i/>
              </w:rPr>
              <w:t>Health is for Everyone</w:t>
            </w:r>
          </w:p>
        </w:tc>
        <w:tc>
          <w:tcPr>
            <w:tcW w:w="2145" w:type="dxa"/>
            <w:tcMar/>
          </w:tcPr>
          <w:p w:rsidRPr="00B04058" w:rsidR="00B04058" w:rsidP="000F0077" w:rsidRDefault="00B04058" w14:paraId="45C65C71" w14:textId="77777777">
            <w:pPr>
              <w:jc w:val="center"/>
              <w:rPr>
                <w:b/>
                <w:i/>
              </w:rPr>
            </w:pPr>
            <w:r w:rsidRPr="00B04058">
              <w:rPr>
                <w:b/>
                <w:i/>
              </w:rPr>
              <w:t>Teaching &amp; Learning Initiatives</w:t>
            </w:r>
          </w:p>
        </w:tc>
        <w:tc>
          <w:tcPr>
            <w:tcW w:w="1725" w:type="dxa"/>
            <w:tcMar/>
          </w:tcPr>
          <w:p w:rsidRPr="00B04058" w:rsidR="00B04058" w:rsidP="000F0077" w:rsidRDefault="00B04058" w14:paraId="65D53C28" w14:textId="77777777">
            <w:pPr>
              <w:jc w:val="center"/>
              <w:rPr>
                <w:b/>
                <w:i/>
              </w:rPr>
            </w:pPr>
            <w:r w:rsidRPr="00B04058">
              <w:rPr>
                <w:b/>
                <w:i/>
              </w:rPr>
              <w:t>Not Your Standard Patient</w:t>
            </w:r>
          </w:p>
        </w:tc>
        <w:tc>
          <w:tcPr>
            <w:tcW w:w="1470" w:type="dxa"/>
            <w:tcMar/>
          </w:tcPr>
          <w:p w:rsidRPr="00B04058" w:rsidR="00B04058" w:rsidP="000F0077" w:rsidRDefault="00B04058" w14:paraId="4071B3F5" w14:textId="77777777">
            <w:pPr>
              <w:jc w:val="center"/>
              <w:rPr>
                <w:b/>
                <w:i/>
              </w:rPr>
            </w:pPr>
            <w:r w:rsidRPr="00B04058">
              <w:rPr>
                <w:b/>
                <w:i/>
              </w:rPr>
              <w:t>Project DOCC</w:t>
            </w:r>
          </w:p>
        </w:tc>
      </w:tr>
      <w:tr w:rsidR="00B04058" w:rsidTr="1027D862" w14:paraId="0681C3F8" w14:textId="77777777">
        <w:tc>
          <w:tcPr>
            <w:tcW w:w="1874" w:type="dxa"/>
            <w:tcMar/>
          </w:tcPr>
          <w:p w:rsidRPr="00B04058" w:rsidR="00B04058" w:rsidP="000F0077" w:rsidRDefault="00B04058" w14:paraId="6C7FC7B8" w14:textId="77777777">
            <w:r w:rsidRPr="00B04058">
              <w:t>Stage in Development</w:t>
            </w:r>
          </w:p>
        </w:tc>
        <w:tc>
          <w:tcPr>
            <w:tcW w:w="1716" w:type="dxa"/>
            <w:tcMar/>
          </w:tcPr>
          <w:p w:rsidR="00B04058" w:rsidP="552CE43B" w:rsidRDefault="00B04058" w14:paraId="7D1DD3A1" w14:textId="4EA00A18">
            <w:pPr>
              <w:rPr>
                <w:b w:val="1"/>
                <w:bCs w:val="1"/>
              </w:rPr>
            </w:pPr>
            <w:r w:rsidR="638E898B">
              <w:rPr>
                <w:b w:val="0"/>
                <w:bCs w:val="0"/>
              </w:rPr>
              <w:t>D/P</w:t>
            </w:r>
          </w:p>
        </w:tc>
        <w:tc>
          <w:tcPr>
            <w:tcW w:w="2145" w:type="dxa"/>
            <w:tcMar/>
          </w:tcPr>
          <w:p w:rsidR="00B04058" w:rsidP="552CE43B" w:rsidRDefault="004A24FE" w14:paraId="7C4CB601" w14:textId="0BD6D64A">
            <w:pPr>
              <w:pStyle w:val="Normal"/>
              <w:bidi w:val="0"/>
              <w:spacing w:before="0" w:beforeAutospacing="off" w:after="0" w:afterAutospacing="off" w:line="259" w:lineRule="auto"/>
              <w:ind w:left="0" w:right="0"/>
              <w:jc w:val="left"/>
            </w:pPr>
            <w:r w:rsidRPr="552CE43B" w:rsidR="638E898B">
              <w:rPr>
                <w:rFonts w:ascii="Arial" w:hAnsi="Arial" w:eastAsia="Arial" w:cs="Arial"/>
                <w:b w:val="0"/>
                <w:bCs w:val="0"/>
                <w:sz w:val="18"/>
                <w:szCs w:val="18"/>
              </w:rPr>
              <w:t>I/E</w:t>
            </w:r>
          </w:p>
        </w:tc>
        <w:tc>
          <w:tcPr>
            <w:tcW w:w="1725" w:type="dxa"/>
            <w:tcMar/>
          </w:tcPr>
          <w:p w:rsidR="00B04058" w:rsidP="552CE43B" w:rsidRDefault="00B04058" w14:paraId="25EF4192" w14:textId="13A38B70">
            <w:pPr>
              <w:pStyle w:val="Normal"/>
              <w:bidi w:val="0"/>
              <w:spacing w:before="0" w:beforeAutospacing="off" w:after="0" w:afterAutospacing="off" w:line="259" w:lineRule="auto"/>
              <w:ind w:left="0" w:right="0"/>
              <w:jc w:val="left"/>
            </w:pPr>
            <w:r w:rsidRPr="552CE43B" w:rsidR="638E898B">
              <w:rPr>
                <w:rFonts w:ascii="Arial" w:hAnsi="Arial" w:eastAsia="Arial" w:cs="Arial"/>
                <w:b w:val="0"/>
                <w:bCs w:val="0"/>
                <w:sz w:val="18"/>
                <w:szCs w:val="18"/>
              </w:rPr>
              <w:t>I/E</w:t>
            </w:r>
          </w:p>
        </w:tc>
        <w:tc>
          <w:tcPr>
            <w:tcW w:w="1470" w:type="dxa"/>
            <w:tcMar/>
          </w:tcPr>
          <w:p w:rsidR="00B04058" w:rsidP="552CE43B" w:rsidRDefault="00B04058" w14:paraId="66B34598" w14:textId="5521EE06">
            <w:pPr>
              <w:pStyle w:val="Normal"/>
              <w:bidi w:val="0"/>
              <w:spacing w:before="0" w:beforeAutospacing="off" w:after="0" w:afterAutospacing="off" w:line="259" w:lineRule="auto"/>
              <w:ind w:left="0" w:right="0"/>
              <w:jc w:val="left"/>
            </w:pPr>
            <w:r w:rsidRPr="552CE43B" w:rsidR="638E898B">
              <w:rPr>
                <w:rFonts w:ascii="Arial" w:hAnsi="Arial" w:eastAsia="Arial" w:cs="Arial"/>
                <w:b w:val="0"/>
                <w:bCs w:val="0"/>
                <w:sz w:val="18"/>
                <w:szCs w:val="18"/>
              </w:rPr>
              <w:t>I/E</w:t>
            </w:r>
          </w:p>
        </w:tc>
      </w:tr>
      <w:tr w:rsidR="00B04058" w:rsidTr="1027D862" w14:paraId="0D5400A1" w14:textId="77777777">
        <w:tc>
          <w:tcPr>
            <w:tcW w:w="1874" w:type="dxa"/>
            <w:tcMar/>
          </w:tcPr>
          <w:p w:rsidR="00B04058" w:rsidP="000F0077" w:rsidRDefault="00B04058" w14:paraId="3B47BC36" w14:textId="77777777">
            <w:r>
              <w:t># stakeholders involved</w:t>
            </w:r>
          </w:p>
        </w:tc>
        <w:tc>
          <w:tcPr>
            <w:tcW w:w="1716" w:type="dxa"/>
            <w:tcMar/>
          </w:tcPr>
          <w:p w:rsidR="00B04058" w:rsidP="1027D862" w:rsidRDefault="00B04058" w14:paraId="4A0C4985" w14:textId="2AFB5367">
            <w:pPr>
              <w:rPr>
                <w:b w:val="1"/>
                <w:bCs w:val="1"/>
              </w:rPr>
            </w:pPr>
            <w:r w:rsidRPr="1027D862" w:rsidR="618D6596">
              <w:rPr>
                <w:b w:val="1"/>
                <w:bCs w:val="1"/>
              </w:rPr>
              <w:t>--</w:t>
            </w:r>
          </w:p>
        </w:tc>
        <w:tc>
          <w:tcPr>
            <w:tcW w:w="2145" w:type="dxa"/>
            <w:tcMar/>
          </w:tcPr>
          <w:p w:rsidR="00B04058" w:rsidP="552CE43B" w:rsidRDefault="00B04058" w14:paraId="546D4E5A" w14:textId="72733141">
            <w:pPr>
              <w:rPr>
                <w:rFonts w:ascii="Arial" w:hAnsi="Arial" w:eastAsia="Arial" w:cs="Arial"/>
                <w:b w:val="0"/>
                <w:bCs w:val="0"/>
                <w:sz w:val="18"/>
                <w:szCs w:val="18"/>
              </w:rPr>
            </w:pPr>
            <w:r w:rsidRPr="552CE43B" w:rsidR="2FF59C63">
              <w:rPr>
                <w:rFonts w:ascii="Arial" w:hAnsi="Arial" w:eastAsia="Arial" w:cs="Arial"/>
                <w:b w:val="0"/>
                <w:bCs w:val="0"/>
                <w:sz w:val="18"/>
                <w:szCs w:val="18"/>
              </w:rPr>
              <w:t>736</w:t>
            </w:r>
          </w:p>
        </w:tc>
        <w:tc>
          <w:tcPr>
            <w:tcW w:w="1725" w:type="dxa"/>
            <w:tcMar/>
          </w:tcPr>
          <w:p w:rsidR="00B04058" w:rsidP="552CE43B" w:rsidRDefault="00B04058" w14:paraId="0063C723" w14:textId="253E9F3C">
            <w:pPr>
              <w:rPr>
                <w:rFonts w:ascii="Arial" w:hAnsi="Arial" w:eastAsia="Arial" w:cs="Arial"/>
                <w:b w:val="0"/>
                <w:bCs w:val="0"/>
                <w:sz w:val="18"/>
                <w:szCs w:val="18"/>
              </w:rPr>
            </w:pPr>
            <w:r w:rsidRPr="552CE43B" w:rsidR="2FF59C63">
              <w:rPr>
                <w:rFonts w:ascii="Arial" w:hAnsi="Arial" w:eastAsia="Arial" w:cs="Arial"/>
                <w:b w:val="0"/>
                <w:bCs w:val="0"/>
                <w:sz w:val="18"/>
                <w:szCs w:val="18"/>
              </w:rPr>
              <w:t>26</w:t>
            </w:r>
          </w:p>
        </w:tc>
        <w:tc>
          <w:tcPr>
            <w:tcW w:w="1470" w:type="dxa"/>
            <w:tcMar/>
          </w:tcPr>
          <w:p w:rsidR="00B04058" w:rsidP="552CE43B" w:rsidRDefault="00B04058" w14:paraId="0EDB4789" w14:textId="6C153C87">
            <w:pPr>
              <w:rPr>
                <w:rFonts w:ascii="Arial" w:hAnsi="Arial" w:eastAsia="Arial" w:cs="Arial"/>
                <w:b w:val="0"/>
                <w:bCs w:val="0"/>
                <w:sz w:val="18"/>
                <w:szCs w:val="18"/>
              </w:rPr>
            </w:pPr>
            <w:r w:rsidRPr="552CE43B" w:rsidR="2FF59C63">
              <w:rPr>
                <w:rFonts w:ascii="Arial" w:hAnsi="Arial" w:eastAsia="Arial" w:cs="Arial"/>
                <w:b w:val="0"/>
                <w:bCs w:val="0"/>
                <w:sz w:val="18"/>
                <w:szCs w:val="18"/>
              </w:rPr>
              <w:t>452</w:t>
            </w:r>
          </w:p>
        </w:tc>
      </w:tr>
    </w:tbl>
    <w:p w:rsidRPr="00B04058" w:rsidR="00B04058" w:rsidP="00B04058" w:rsidRDefault="00B04058" w14:paraId="50250F55" w14:textId="5E70AE44">
      <w:r w:rsidR="6C410B66">
        <w:rPr/>
        <w:t>Note: D = Development; P = Planning; I = implemented; E = evaluated</w:t>
      </w:r>
    </w:p>
    <w:p w:rsidR="00B04058" w:rsidP="1027D862" w:rsidRDefault="00B04058" w14:paraId="265FA56E" w14:textId="3960EA51">
      <w:pPr>
        <w:pStyle w:val="Normal"/>
        <w:rPr>
          <w:b w:val="1"/>
          <w:bCs w:val="1"/>
          <w:i w:val="1"/>
          <w:iCs w:val="1"/>
        </w:rPr>
      </w:pPr>
    </w:p>
    <w:p w:rsidR="00B04058" w:rsidP="1027D862" w:rsidRDefault="00B04058" w14:paraId="38CA07FF" w14:textId="4C5F638A">
      <w:pPr>
        <w:pStyle w:val="Normal"/>
        <w:rPr>
          <w:b w:val="1"/>
          <w:bCs w:val="1"/>
          <w:i w:val="1"/>
          <w:iCs w:val="1"/>
        </w:rPr>
      </w:pPr>
      <w:r w:rsidRPr="1027D862" w:rsidR="00B04058">
        <w:rPr>
          <w:b w:val="1"/>
          <w:bCs w:val="1"/>
          <w:i w:val="1"/>
          <w:iCs w:val="1"/>
        </w:rPr>
        <w:t>Challenges</w:t>
      </w:r>
      <w:r w:rsidRPr="1027D862" w:rsidR="00B04058">
        <w:rPr>
          <w:b w:val="1"/>
          <w:bCs w:val="1"/>
          <w:i w:val="1"/>
          <w:iCs w:val="1"/>
        </w:rPr>
        <w:t>:</w:t>
      </w:r>
    </w:p>
    <w:p w:rsidR="00B04058" w:rsidP="00B04058" w:rsidRDefault="00B04058" w14:paraId="39A18C7E" w14:textId="77777777"/>
    <w:p w:rsidR="0085331F" w:rsidP="1027D862" w:rsidRDefault="0085331F" w14:paraId="6E4038EF" w14:textId="000879EC">
      <w:pPr>
        <w:pStyle w:val="ListParagraph"/>
        <w:numPr>
          <w:ilvl w:val="0"/>
          <w:numId w:val="4"/>
        </w:numPr>
        <w:rPr>
          <w:rFonts w:ascii="Calibri" w:hAnsi="Calibri" w:eastAsia="Calibri" w:cs="Calibri" w:asciiTheme="minorAscii" w:hAnsiTheme="minorAscii" w:eastAsiaTheme="minorAscii" w:cstheme="minorAscii"/>
          <w:sz w:val="24"/>
          <w:szCs w:val="24"/>
        </w:rPr>
      </w:pPr>
      <w:r w:rsidR="0085331F">
        <w:rPr/>
        <w:t>COVID-19 led to shift to virtual delivery of lectures</w:t>
      </w:r>
      <w:r w:rsidR="17DE6966">
        <w:rPr/>
        <w:t xml:space="preserve"> and materials.</w:t>
      </w:r>
    </w:p>
    <w:p w:rsidR="0085331F" w:rsidP="1027D862" w:rsidRDefault="0085331F" w14:paraId="40FCDB7A" w14:textId="1F27CA38">
      <w:pPr>
        <w:pStyle w:val="ListParagraph"/>
        <w:numPr>
          <w:ilvl w:val="0"/>
          <w:numId w:val="4"/>
        </w:numPr>
        <w:rPr>
          <w:sz w:val="24"/>
          <w:szCs w:val="24"/>
        </w:rPr>
      </w:pPr>
      <w:r w:rsidR="17DE6966">
        <w:rPr/>
        <w:t xml:space="preserve">During the development stage, discussions often shifted to not having space within the curriculum for an additional topic. </w:t>
      </w:r>
    </w:p>
    <w:p w:rsidR="0085331F" w:rsidP="1027D862" w:rsidRDefault="0085331F" w14:paraId="4D9DAB04" w14:textId="5A1AD9B6">
      <w:pPr>
        <w:pStyle w:val="ListParagraph"/>
        <w:numPr>
          <w:ilvl w:val="0"/>
          <w:numId w:val="4"/>
        </w:numPr>
        <w:rPr>
          <w:sz w:val="24"/>
          <w:szCs w:val="24"/>
        </w:rPr>
      </w:pPr>
      <w:r w:rsidR="17DE6966">
        <w:rPr/>
        <w:t>Faculty and administrators needed to decipher how the new course or activity fit within their established curriculum and met established accreditation guidelines.</w:t>
      </w:r>
    </w:p>
    <w:p w:rsidR="0085331F" w:rsidP="1027D862" w:rsidRDefault="0085331F" w14:paraId="2083F788" w14:textId="620DA2F1">
      <w:pPr>
        <w:pStyle w:val="ListParagraph"/>
        <w:numPr>
          <w:ilvl w:val="0"/>
          <w:numId w:val="4"/>
        </w:numPr>
        <w:rPr>
          <w:sz w:val="24"/>
          <w:szCs w:val="24"/>
        </w:rPr>
      </w:pPr>
      <w:r w:rsidR="0085331F">
        <w:rPr/>
        <w:t>Meetings with College of Medicine faculty were cancelled in the spring, 2020 semester as a result of COVID.</w:t>
      </w:r>
    </w:p>
    <w:p w:rsidR="00B04058" w:rsidP="00B04058" w:rsidRDefault="00B04058" w14:paraId="01BBEC6F" w14:textId="77777777"/>
    <w:p w:rsidR="00B04058" w:rsidP="00B04058" w:rsidRDefault="00B04058" w14:paraId="216A1181" w14:textId="77777777"/>
    <w:p w:rsidR="00B04058" w:rsidP="1027D862" w:rsidRDefault="00B04058" w14:paraId="7D2E37A9" w14:textId="4003220F">
      <w:pPr>
        <w:rPr>
          <w:b w:val="1"/>
          <w:bCs w:val="1"/>
          <w:i w:val="1"/>
          <w:iCs w:val="1"/>
        </w:rPr>
      </w:pPr>
      <w:r w:rsidRPr="1027D862" w:rsidR="00B04058">
        <w:rPr>
          <w:b w:val="1"/>
          <w:bCs w:val="1"/>
          <w:i w:val="1"/>
          <w:iCs w:val="1"/>
        </w:rPr>
        <w:t>Solutions</w:t>
      </w:r>
      <w:r w:rsidRPr="1027D862" w:rsidR="4111EDAF">
        <w:rPr>
          <w:b w:val="1"/>
          <w:bCs w:val="1"/>
          <w:i w:val="1"/>
          <w:iCs w:val="1"/>
        </w:rPr>
        <w:t xml:space="preserve"> that Worked in these Scenarios</w:t>
      </w:r>
      <w:r w:rsidRPr="1027D862" w:rsidR="00B04058">
        <w:rPr>
          <w:b w:val="1"/>
          <w:bCs w:val="1"/>
          <w:i w:val="1"/>
          <w:iCs w:val="1"/>
        </w:rPr>
        <w:t>:</w:t>
      </w:r>
    </w:p>
    <w:p w:rsidR="0085331F" w:rsidP="1027D862" w:rsidRDefault="0085331F" w14:paraId="195FF418" w14:textId="0F9EA0D6">
      <w:pPr>
        <w:pStyle w:val="ListParagraph"/>
        <w:numPr>
          <w:ilvl w:val="0"/>
          <w:numId w:val="5"/>
        </w:numPr>
        <w:rPr>
          <w:rFonts w:ascii="Calibri" w:hAnsi="Calibri" w:eastAsia="Calibri" w:cs="Calibri" w:asciiTheme="minorAscii" w:hAnsiTheme="minorAscii" w:eastAsiaTheme="minorAscii" w:cstheme="minorAscii"/>
          <w:sz w:val="24"/>
          <w:szCs w:val="24"/>
        </w:rPr>
      </w:pPr>
      <w:r w:rsidR="4F28CC60">
        <w:rPr/>
        <w:t>Discuss and offer previous training and other experience offering accessible learning (face-to-face or virtual).</w:t>
      </w:r>
    </w:p>
    <w:p w:rsidR="0085331F" w:rsidP="1027D862" w:rsidRDefault="0085331F" w14:paraId="5BC7AAD8" w14:textId="44EEB595">
      <w:pPr>
        <w:pStyle w:val="ListParagraph"/>
        <w:numPr>
          <w:ilvl w:val="0"/>
          <w:numId w:val="5"/>
        </w:numPr>
        <w:rPr>
          <w:rFonts w:ascii="Calibri" w:hAnsi="Calibri" w:eastAsia="Calibri" w:cs="Calibri" w:asciiTheme="minorAscii" w:hAnsiTheme="minorAscii" w:eastAsiaTheme="minorAscii" w:cstheme="minorAscii"/>
          <w:sz w:val="24"/>
          <w:szCs w:val="24"/>
        </w:rPr>
      </w:pPr>
      <w:r w:rsidR="4F28CC60">
        <w:rPr/>
        <w:t xml:space="preserve">Offer multiple events and opportunities during semesters (including summer months) for the initial trial. Other options may arise once they have experienced the initiative directly. </w:t>
      </w:r>
    </w:p>
    <w:p w:rsidR="0085331F" w:rsidP="1027D862" w:rsidRDefault="0085331F" w14:paraId="2AE4FE49" w14:textId="0449068C">
      <w:pPr>
        <w:pStyle w:val="ListParagraph"/>
        <w:numPr>
          <w:ilvl w:val="0"/>
          <w:numId w:val="5"/>
        </w:numPr>
        <w:rPr>
          <w:sz w:val="24"/>
          <w:szCs w:val="24"/>
        </w:rPr>
      </w:pPr>
      <w:r w:rsidR="4F28CC60">
        <w:rPr/>
        <w:t xml:space="preserve">Consider offering these initiatives as Interprofessional Education (IPE) experiences across various health sciences schools. This is an increasing interest among accreditation boards and often provides more than one contact/support person for the initiative. </w:t>
      </w:r>
    </w:p>
    <w:p w:rsidR="0085331F" w:rsidP="1027D862" w:rsidRDefault="0085331F" w14:paraId="3851BF03" w14:textId="4C3A9C0C">
      <w:pPr>
        <w:pStyle w:val="ListParagraph"/>
        <w:numPr>
          <w:ilvl w:val="0"/>
          <w:numId w:val="5"/>
        </w:numPr>
        <w:rPr>
          <w:rFonts w:ascii="Calibri" w:hAnsi="Calibri" w:eastAsia="Calibri" w:cs="Calibri" w:asciiTheme="minorAscii" w:hAnsiTheme="minorAscii" w:eastAsiaTheme="minorAscii" w:cstheme="minorAscii"/>
          <w:sz w:val="24"/>
          <w:szCs w:val="24"/>
        </w:rPr>
      </w:pPr>
      <w:r w:rsidR="0085331F">
        <w:rPr/>
        <w:t xml:space="preserve">Additional connections </w:t>
      </w:r>
      <w:r w:rsidR="31128A4F">
        <w:rPr/>
        <w:t>within the college or school from other revenues (grants, community service programs, research led to additional opportunities to incorporate learners over time</w:t>
      </w:r>
    </w:p>
    <w:p w:rsidR="1027D862" w:rsidP="1027D862" w:rsidRDefault="1027D862" w14:paraId="3FEB631B" w14:textId="068BB887">
      <w:pPr>
        <w:pStyle w:val="Normal"/>
        <w:ind w:left="0"/>
      </w:pPr>
    </w:p>
    <w:p w:rsidR="00B04058" w:rsidP="00B04058" w:rsidRDefault="00B04058" w14:paraId="78CD2E2B" w14:textId="77777777">
      <w:pPr>
        <w:rPr>
          <w:b/>
          <w:i/>
        </w:rPr>
      </w:pPr>
    </w:p>
    <w:p w:rsidR="00B04058" w:rsidP="1027D862" w:rsidRDefault="00B04058" w14:paraId="72711EFB" w14:textId="77777777">
      <w:pPr>
        <w:pStyle w:val="Normal"/>
        <w:ind w:left="0"/>
        <w:rPr>
          <w:b w:val="1"/>
          <w:bCs w:val="1"/>
        </w:rPr>
      </w:pPr>
      <w:r w:rsidRPr="1027D862" w:rsidR="00B04058">
        <w:rPr>
          <w:b w:val="1"/>
          <w:bCs w:val="1"/>
        </w:rPr>
        <w:t>Conclusions:</w:t>
      </w:r>
    </w:p>
    <w:p w:rsidR="1027D862" w:rsidRDefault="1027D862" w14:paraId="62E7BB2E" w14:textId="6520A174"/>
    <w:p w:rsidR="0085331F" w:rsidP="1027D862" w:rsidRDefault="0085331F" w14:paraId="3C0EA964" w14:textId="411D9084">
      <w:pPr>
        <w:pStyle w:val="ListParagraph"/>
        <w:numPr>
          <w:ilvl w:val="0"/>
          <w:numId w:val="6"/>
        </w:numPr>
        <w:rPr>
          <w:rFonts w:ascii="Calibri" w:hAnsi="Calibri" w:eastAsia="Calibri" w:cs="Calibri" w:asciiTheme="minorAscii" w:hAnsiTheme="minorAscii" w:eastAsiaTheme="minorAscii" w:cstheme="minorAscii"/>
          <w:sz w:val="24"/>
          <w:szCs w:val="24"/>
        </w:rPr>
      </w:pPr>
      <w:r w:rsidR="3574D620">
        <w:rPr/>
        <w:t>While COVID transitioned all initiatives to virtual format, learners were</w:t>
      </w:r>
      <w:r w:rsidR="0085331F">
        <w:rPr/>
        <w:t xml:space="preserve"> more comfortable with </w:t>
      </w:r>
      <w:r w:rsidR="6C2D345F">
        <w:rPr/>
        <w:t xml:space="preserve">this format and it could be more easily woven into the curriculum than those that required on-site learning. </w:t>
      </w:r>
    </w:p>
    <w:p w:rsidR="0085331F" w:rsidP="1027D862" w:rsidRDefault="0085331F" w14:paraId="14640861" w14:textId="14F2D0CB">
      <w:pPr>
        <w:pStyle w:val="ListParagraph"/>
        <w:numPr>
          <w:ilvl w:val="0"/>
          <w:numId w:val="6"/>
        </w:numPr>
        <w:rPr>
          <w:sz w:val="24"/>
          <w:szCs w:val="24"/>
        </w:rPr>
      </w:pPr>
      <w:r w:rsidR="6C2D345F">
        <w:rPr/>
        <w:t>Families (if involved) also enjoyed the virtual format in that it reduced the need for them to travel to the university and offered more of their time for other sessions as a result.</w:t>
      </w:r>
    </w:p>
    <w:p w:rsidR="0085331F" w:rsidP="1027D862" w:rsidRDefault="0085331F" w14:paraId="19852CA2" w14:textId="57856227">
      <w:pPr>
        <w:pStyle w:val="ListParagraph"/>
        <w:numPr>
          <w:ilvl w:val="0"/>
          <w:numId w:val="6"/>
        </w:numPr>
        <w:rPr>
          <w:sz w:val="24"/>
          <w:szCs w:val="24"/>
        </w:rPr>
      </w:pPr>
      <w:r w:rsidR="0085331F">
        <w:rPr/>
        <w:t>Now is an ideal time to convey the importance of including disability in medical curricula as there is increased awareness and understanding of environmental factors that are disabling us all.</w:t>
      </w:r>
    </w:p>
    <w:p w:rsidR="0085331F" w:rsidP="00B04058" w:rsidRDefault="0085331F" w14:paraId="250E0B62" w14:textId="77777777">
      <w:pPr>
        <w:rPr>
          <w:b/>
        </w:rPr>
      </w:pPr>
    </w:p>
    <w:p w:rsidRPr="00B04058" w:rsidR="0085331F" w:rsidP="00B04058" w:rsidRDefault="00FF62CD" w14:paraId="26D781D9" w14:textId="5DF4D4AA" w14:noSpellErr="1">
      <w:pPr/>
      <w:r w:rsidR="00FF62CD">
        <w:drawing>
          <wp:inline wp14:editId="480AFA22" wp14:anchorId="148F5C65">
            <wp:extent cx="3416852" cy="2262648"/>
            <wp:effectExtent l="0" t="0" r="0" b="7620"/>
            <wp:docPr id="2" name="Picture 2" descr="Human Development Institute (HDI) is pleased to present the 2019 University Lecture Series. The catalog of 35 presentations include one-hour lectures, panels and seminar style offerings." title=""/>
            <wp:cNvGraphicFramePr>
              <a:graphicFrameLocks noChangeAspect="1"/>
            </wp:cNvGraphicFramePr>
            <a:graphic>
              <a:graphicData uri="http://schemas.openxmlformats.org/drawingml/2006/picture">
                <pic:pic>
                  <pic:nvPicPr>
                    <pic:cNvPr id="0" name="Picture 2"/>
                    <pic:cNvPicPr/>
                  </pic:nvPicPr>
                  <pic:blipFill>
                    <a:blip r:embed="R3771f1df056d4a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16852" cy="2262648"/>
                    </a:xfrm>
                    <a:prstGeom prst="rect">
                      <a:avLst/>
                    </a:prstGeom>
                  </pic:spPr>
                </pic:pic>
              </a:graphicData>
            </a:graphic>
          </wp:inline>
        </w:drawing>
      </w:r>
    </w:p>
    <w:p w:rsidR="748D7363" w:rsidP="552CE43B" w:rsidRDefault="748D7363" w14:paraId="27B830B1" w14:textId="65CE5E4D">
      <w:pPr>
        <w:pStyle w:val="Normal"/>
      </w:pPr>
      <w:r w:rsidR="748D7363">
        <w:rPr/>
        <w:t>University of Kentucky</w:t>
      </w:r>
    </w:p>
    <w:p w:rsidR="552CE43B" w:rsidP="552CE43B" w:rsidRDefault="552CE43B" w14:paraId="049DF2AB" w14:textId="52BC0D00">
      <w:pPr>
        <w:pStyle w:val="Normal"/>
      </w:pPr>
    </w:p>
    <w:p w:rsidR="552CE43B" w:rsidP="552CE43B" w:rsidRDefault="552CE43B" w14:paraId="19D017DF" w14:textId="1B9DCDEE">
      <w:pPr>
        <w:pStyle w:val="Normal"/>
      </w:pPr>
    </w:p>
    <w:p w:rsidR="748D7363" w:rsidP="552CE43B" w:rsidRDefault="748D7363" w14:paraId="1E5E69A9" w14:textId="45A12710">
      <w:pPr>
        <w:pStyle w:val="Normal"/>
      </w:pPr>
      <w:r w:rsidR="748D7363">
        <w:rPr/>
        <w:t>*Brian- insert previous photo of classroom view from Project DOCC Walk in our SHoes poster here</w:t>
      </w:r>
    </w:p>
    <w:p w:rsidR="552CE43B" w:rsidP="552CE43B" w:rsidRDefault="552CE43B" w14:paraId="474B6A7A" w14:textId="1D7B5757">
      <w:pPr>
        <w:pStyle w:val="Normal"/>
      </w:pPr>
    </w:p>
    <w:sectPr w:rsidRPr="00B04058" w:rsidR="0085331F" w:rsidSect="0035288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3B9147C"/>
    <w:multiLevelType w:val="hybridMultilevel"/>
    <w:tmpl w:val="F4A4CC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D7C571D"/>
    <w:multiLevelType w:val="hybridMultilevel"/>
    <w:tmpl w:val="7F7E9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58"/>
    <w:rsid w:val="00003DE1"/>
    <w:rsid w:val="000D341C"/>
    <w:rsid w:val="000F6937"/>
    <w:rsid w:val="00161731"/>
    <w:rsid w:val="001B2EF3"/>
    <w:rsid w:val="001D6F04"/>
    <w:rsid w:val="00217019"/>
    <w:rsid w:val="00274066"/>
    <w:rsid w:val="002C5E1E"/>
    <w:rsid w:val="0032205C"/>
    <w:rsid w:val="00352887"/>
    <w:rsid w:val="00376305"/>
    <w:rsid w:val="004A24FE"/>
    <w:rsid w:val="00500A31"/>
    <w:rsid w:val="006C3449"/>
    <w:rsid w:val="00730850"/>
    <w:rsid w:val="00777685"/>
    <w:rsid w:val="008104C5"/>
    <w:rsid w:val="0085331F"/>
    <w:rsid w:val="009956D5"/>
    <w:rsid w:val="00B04058"/>
    <w:rsid w:val="00BF7202"/>
    <w:rsid w:val="00C16642"/>
    <w:rsid w:val="00CF5905"/>
    <w:rsid w:val="00D350AE"/>
    <w:rsid w:val="00DA4649"/>
    <w:rsid w:val="00F94781"/>
    <w:rsid w:val="00FF62CD"/>
    <w:rsid w:val="03B1F504"/>
    <w:rsid w:val="04788E38"/>
    <w:rsid w:val="057F9D36"/>
    <w:rsid w:val="0BCDE394"/>
    <w:rsid w:val="0C5D7C97"/>
    <w:rsid w:val="0D878BE3"/>
    <w:rsid w:val="0EE7761F"/>
    <w:rsid w:val="1027D862"/>
    <w:rsid w:val="10D38EE9"/>
    <w:rsid w:val="15D13179"/>
    <w:rsid w:val="17DE6966"/>
    <w:rsid w:val="18ED08BF"/>
    <w:rsid w:val="1A9AE244"/>
    <w:rsid w:val="1D21D182"/>
    <w:rsid w:val="215523F6"/>
    <w:rsid w:val="258F34CE"/>
    <w:rsid w:val="2904F4AE"/>
    <w:rsid w:val="2C19C5C9"/>
    <w:rsid w:val="2CC57B61"/>
    <w:rsid w:val="2D19CBD2"/>
    <w:rsid w:val="2F707199"/>
    <w:rsid w:val="2FF59C63"/>
    <w:rsid w:val="31128A4F"/>
    <w:rsid w:val="3574D620"/>
    <w:rsid w:val="358DFBCF"/>
    <w:rsid w:val="38D283A8"/>
    <w:rsid w:val="3A34ED23"/>
    <w:rsid w:val="3AF3210D"/>
    <w:rsid w:val="3E502BE5"/>
    <w:rsid w:val="3EC64D72"/>
    <w:rsid w:val="40709E8C"/>
    <w:rsid w:val="40D46A35"/>
    <w:rsid w:val="4111EDAF"/>
    <w:rsid w:val="41EF80D5"/>
    <w:rsid w:val="44768F84"/>
    <w:rsid w:val="45CDEFCE"/>
    <w:rsid w:val="4799EE4B"/>
    <w:rsid w:val="4C1DB68B"/>
    <w:rsid w:val="4F28CC60"/>
    <w:rsid w:val="4FC465F5"/>
    <w:rsid w:val="552CE43B"/>
    <w:rsid w:val="55617130"/>
    <w:rsid w:val="575B9BCA"/>
    <w:rsid w:val="5F35E4E1"/>
    <w:rsid w:val="618D6596"/>
    <w:rsid w:val="62748529"/>
    <w:rsid w:val="62799A43"/>
    <w:rsid w:val="638E898B"/>
    <w:rsid w:val="64CCF94A"/>
    <w:rsid w:val="67FFFAB7"/>
    <w:rsid w:val="68C2B859"/>
    <w:rsid w:val="696DCA17"/>
    <w:rsid w:val="6BEBFB8E"/>
    <w:rsid w:val="6C2D345F"/>
    <w:rsid w:val="6C410B66"/>
    <w:rsid w:val="71CBBBBF"/>
    <w:rsid w:val="748D7363"/>
    <w:rsid w:val="74C91854"/>
    <w:rsid w:val="78501ECA"/>
    <w:rsid w:val="789F0265"/>
    <w:rsid w:val="7968457E"/>
    <w:rsid w:val="79F20AB9"/>
    <w:rsid w:val="7BB0B6D4"/>
    <w:rsid w:val="7CF76B2D"/>
    <w:rsid w:val="7D1BDCEC"/>
    <w:rsid w:val="7E3EC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281A"/>
  <w14:defaultImageDpi w14:val="32767"/>
  <w15:chartTrackingRefBased/>
  <w15:docId w15:val="{E9ABFDB7-6790-224D-953B-65EF3636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04058"/>
    <w:pPr>
      <w:ind w:left="720"/>
      <w:contextualSpacing/>
    </w:pPr>
  </w:style>
  <w:style w:type="table" w:styleId="TableGrid">
    <w:name w:val="Table Grid"/>
    <w:basedOn w:val="TableNormal"/>
    <w:uiPriority w:val="39"/>
    <w:rsid w:val="00B040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A24F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24FE"/>
    <w:rPr>
      <w:rFonts w:ascii="Segoe UI" w:hAnsi="Segoe UI" w:cs="Segoe UI"/>
      <w:sz w:val="18"/>
      <w:szCs w:val="18"/>
    </w:rPr>
  </w:style>
  <w:style w:type="character" w:styleId="Emphasis">
    <w:name w:val="Emphasis"/>
    <w:basedOn w:val="DefaultParagraphFont"/>
    <w:uiPriority w:val="20"/>
    <w:qFormat/>
    <w:rsid w:val="004A24FE"/>
    <w:rPr>
      <w:i/>
      <w:iCs/>
    </w:rPr>
  </w:style>
  <w:style w:type="character" w:styleId="Hyperlink">
    <w:name w:val="Hyperlink"/>
    <w:basedOn w:val="DefaultParagraphFont"/>
    <w:uiPriority w:val="99"/>
    <w:unhideWhenUsed/>
    <w:rsid w:val="001D6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di.uky.edu/university-lecture-serie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3.jpg" Id="R3771f1df056d4a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ECC0BB0A81B46BA12CC1F54851E72" ma:contentTypeVersion="13" ma:contentTypeDescription="Create a new document." ma:contentTypeScope="" ma:versionID="c2d20e8e858401a53e7685a7f7283be4">
  <xsd:schema xmlns:xsd="http://www.w3.org/2001/XMLSchema" xmlns:xs="http://www.w3.org/2001/XMLSchema" xmlns:p="http://schemas.microsoft.com/office/2006/metadata/properties" xmlns:ns3="7fc21249-fe2a-4baf-8758-b8f9a15db2fc" xmlns:ns4="974e2584-8277-4615-a9c6-4009564cc360" targetNamespace="http://schemas.microsoft.com/office/2006/metadata/properties" ma:root="true" ma:fieldsID="9e2a8a5f3a2e81aa87e6e65bb25d7b93" ns3:_="" ns4:_="">
    <xsd:import namespace="7fc21249-fe2a-4baf-8758-b8f9a15db2fc"/>
    <xsd:import namespace="974e2584-8277-4615-a9c6-4009564cc3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21249-fe2a-4baf-8758-b8f9a15db2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2584-8277-4615-a9c6-4009564cc3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06E6B-6EDB-4199-A6E4-142A3714B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B944F-2CA3-41AE-B08B-0C982507040C}">
  <ds:schemaRefs>
    <ds:schemaRef ds:uri="http://schemas.microsoft.com/sharepoint/v3/contenttype/forms"/>
  </ds:schemaRefs>
</ds:datastoreItem>
</file>

<file path=customXml/itemProps3.xml><?xml version="1.0" encoding="utf-8"?>
<ds:datastoreItem xmlns:ds="http://schemas.openxmlformats.org/officeDocument/2006/customXml" ds:itemID="{3BC8E8A4-3119-4C1C-AA34-105A83B96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21249-fe2a-4baf-8758-b8f9a15db2fc"/>
    <ds:schemaRef ds:uri="974e2584-8277-4615-a9c6-4009564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Cottrell</dc:creator>
  <keywords/>
  <dc:description/>
  <lastModifiedBy>Cottrell, Lesley</lastModifiedBy>
  <revision>4</revision>
  <dcterms:created xsi:type="dcterms:W3CDTF">2020-10-26T21:08:00.0000000Z</dcterms:created>
  <dcterms:modified xsi:type="dcterms:W3CDTF">2020-10-27T22:21:38.5504689Z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0x010100868ECC0BB0A81B46BA12CC1F54851E72</vt:lpwstr>
  </property>
</Properties>
</file>